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keepNext w:val="true"/>
        <w:keepLines/>
        <w:spacing w:before="480" w:after="80"/>
        <w:jc w:val="left"/>
        <w:rPr/>
      </w:pPr>
      <w:r>
        <w:rPr/>
        <w:t>Polityka Prywatności serwisu Labbi (labbi.pl)</w:t>
      </w:r>
    </w:p>
    <w:p>
      <w:pPr>
        <w:pStyle w:val="Subtitle"/>
        <w:rPr/>
      </w:pPr>
      <w:r>
        <w:rPr/>
        <w:t>Obowiązuje od: 20 lutego 2026 r.</w:t>
      </w:r>
    </w:p>
    <w:p>
      <w:pPr>
        <w:pStyle w:val="Heading1"/>
        <w:ind w:hanging="0" w:left="0"/>
        <w:rPr/>
      </w:pPr>
      <w:bookmarkStart w:id="0" w:name="administrator-danych-i-kontakt"/>
      <w:bookmarkEnd w:id="0"/>
      <w:r>
        <w:rPr/>
        <w:t>1. Administrator danych i kontakt</w:t>
      </w:r>
    </w:p>
    <w:p>
      <w:pPr>
        <w:pStyle w:val="Compact"/>
        <w:numPr>
          <w:ilvl w:val="0"/>
          <w:numId w:val="5"/>
        </w:numPr>
        <w:spacing w:before="0" w:after="60"/>
        <w:rPr/>
      </w:pPr>
      <w:r>
        <w:rPr/>
        <w:t>Administratorem danych osobowych przetwarzanych w serwisie labbi.pl („Serwis”) jest KK PRO Kamil Kamiński, ul. Sendlerowej 51, 48-300 Nysa, NIP: 7532372556, REGON: 363360148, wpisany do Centralnej Ewidencji i Informacji o Działalności Gospodarczej („Administrator”, „Labbi”, „my”).</w:t>
      </w:r>
    </w:p>
    <w:p>
      <w:pPr>
        <w:pStyle w:val="Compact"/>
        <w:numPr>
          <w:ilvl w:val="0"/>
          <w:numId w:val="3"/>
        </w:numPr>
        <w:spacing w:before="0" w:after="60"/>
        <w:rPr/>
      </w:pPr>
      <w:r>
        <w:rPr/>
        <w:t>Kontakt w sprawach danych osobowych: kontakt@labbi.pl lub listownie na adres Administratora z dopiskiem „Dane osobowe”.</w:t>
      </w:r>
    </w:p>
    <w:p>
      <w:pPr>
        <w:pStyle w:val="Compact"/>
        <w:numPr>
          <w:ilvl w:val="0"/>
          <w:numId w:val="3"/>
        </w:numPr>
        <w:spacing w:before="0" w:after="60"/>
        <w:rPr/>
      </w:pPr>
      <w:r>
        <w:rPr/>
        <w:t>Polityka dotyczy osób, których dane przetwarzamy w związku z Serwisem: osób prowadzących gabinety i pracownie (także jednoosobowo), ich pracowników i współpracowników korzystających z Kont, osób kontaktowych oraz osób odwiedzających Serwis. Użyte tu określenia „Użytkownik”, „Gabinet”, „Pracownia” mają znaczenie z Regulaminu Serwisu.</w:t>
      </w:r>
    </w:p>
    <w:p>
      <w:pPr>
        <w:pStyle w:val="Compact"/>
        <w:numPr>
          <w:ilvl w:val="0"/>
          <w:numId w:val="3"/>
        </w:numPr>
        <w:spacing w:before="0" w:after="60"/>
        <w:rPr/>
      </w:pPr>
      <w:r>
        <w:rPr/>
        <w:t>RODO oznacza rozporządzenie Parlamentu Europejskiego i Rady (UE) 2016/679 z dnia 27 kwietnia 2016 r.</w:t>
      </w:r>
    </w:p>
    <w:p>
      <w:pPr>
        <w:pStyle w:val="Heading1"/>
        <w:ind w:hanging="0" w:left="0"/>
        <w:rPr/>
      </w:pPr>
      <w:bookmarkStart w:id="1" w:name="administrator-danych-i-kontakt"/>
      <w:bookmarkStart w:id="2" w:name="zakres-polityki-i-rola-labslot"/>
      <w:bookmarkEnd w:id="1"/>
      <w:bookmarkEnd w:id="2"/>
      <w:r>
        <w:rPr/>
        <w:t>2. Zakres Polityki i rola Labbi</w:t>
      </w:r>
    </w:p>
    <w:p>
      <w:pPr>
        <w:pStyle w:val="Compact"/>
        <w:numPr>
          <w:ilvl w:val="0"/>
          <w:numId w:val="6"/>
        </w:numPr>
        <w:spacing w:before="0" w:after="60"/>
        <w:rPr/>
      </w:pPr>
      <w:r>
        <w:rPr/>
        <w:t>Labbi jest platformą internetową dla przedsiębiorców (B2B): pomaga gabinetom stomatologicznym znaleźć pracownie protetyczne z wolnymi mocami i przekazać im zlecenie techniczne. Serwis działa jako strona internetowa, także w wersji mobilnej. Nie jest na ten moment aplikacją do pobrania.</w:t>
      </w:r>
    </w:p>
    <w:p>
      <w:pPr>
        <w:pStyle w:val="Compact"/>
        <w:numPr>
          <w:ilvl w:val="0"/>
          <w:numId w:val="3"/>
        </w:numPr>
        <w:spacing w:before="0" w:after="60"/>
        <w:rPr/>
      </w:pPr>
      <w:r>
        <w:rPr/>
        <w:t>Serwis nie służy do przetwarzania danych pacjentów (punkt 5). Dla danych Użytkowników i osób działających w ich imieniu Administrator jest administratorem w rozumieniu art. 4 pkt 7 RODO.</w:t>
      </w:r>
    </w:p>
    <w:p>
      <w:pPr>
        <w:pStyle w:val="Compact"/>
        <w:numPr>
          <w:ilvl w:val="0"/>
          <w:numId w:val="3"/>
        </w:numPr>
        <w:spacing w:before="0" w:after="60"/>
        <w:rPr/>
      </w:pPr>
      <w:r>
        <w:rPr/>
        <w:t>Labbi nie przyjmuje i nie rozlicza płatności między Gabinetami a Pracowniami. Na dzień wejścia w życie Polityki Serwis jest bezpłatny i Labbi nie przyjmuje płatności za korzystanie z niego. Wprowadzenie opłat poprzedzimy informacją dla Użytkowników i aktualizacją Polityki.</w:t>
      </w:r>
    </w:p>
    <w:p>
      <w:pPr>
        <w:pStyle w:val="Compact"/>
        <w:numPr>
          <w:ilvl w:val="0"/>
          <w:numId w:val="3"/>
        </w:numPr>
        <w:spacing w:before="0" w:after="60"/>
        <w:rPr/>
      </w:pPr>
      <w:r>
        <w:rPr/>
        <w:t>Gabinet i Pracownia, którym udostępniamy dane kontaktowe i profil drugiej strony w związku ze zleceniem, przetwarzają je jako odrębni administratorzy, na własny użytek i zgodnie z RODO.</w:t>
      </w:r>
    </w:p>
    <w:p>
      <w:pPr>
        <w:pStyle w:val="Heading1"/>
        <w:ind w:hanging="0" w:left="0"/>
        <w:rPr/>
      </w:pPr>
      <w:bookmarkStart w:id="3" w:name="zakres-polityki-i-rola-labslot"/>
      <w:bookmarkStart w:id="4" w:name="jakie-dane-przetwarzamy-i-skąd-je-mamy"/>
      <w:bookmarkEnd w:id="3"/>
      <w:bookmarkEnd w:id="4"/>
      <w:r>
        <w:rPr/>
        <w:t>3. Jakie dane przetwarzamy i skąd je mamy</w:t>
      </w:r>
    </w:p>
    <w:p>
      <w:pPr>
        <w:pStyle w:val="Compact"/>
        <w:numPr>
          <w:ilvl w:val="0"/>
          <w:numId w:val="7"/>
        </w:numPr>
        <w:spacing w:before="0" w:after="60"/>
        <w:rPr/>
      </w:pPr>
      <w:r>
        <w:rPr>
          <w:b/>
          <w:bCs/>
        </w:rPr>
        <w:t>Dane konta i rejestracji:</w:t>
      </w:r>
      <w:r>
        <w:rPr/>
        <w:t xml:space="preserve"> adres e-mail, numer telefonu, hasło (przechowywane wyłącznie w postaci zaszyfrowanej, w formie skrótu), rola (Gabinet lub Pracownia).</w:t>
      </w:r>
    </w:p>
    <w:p>
      <w:pPr>
        <w:pStyle w:val="Normal"/>
        <w:numPr>
          <w:ilvl w:val="0"/>
          <w:numId w:val="4"/>
        </w:numPr>
        <w:spacing w:lineRule="auto" w:line="240" w:before="0" w:after="0"/>
        <w:ind w:hanging="360" w:left="0" w:right="0"/>
        <w:rPr>
          <w:rStyle w:val="Strong"/>
          <w:rFonts w:ascii="Arial" w:hAnsi="Arial" w:cs="Arial"/>
        </w:rPr>
      </w:pPr>
      <w:r>
        <w:rPr>
          <w:b/>
          <w:bCs/>
        </w:rPr>
        <w:t>Dane firmy i profilu:</w:t>
      </w:r>
      <w:r>
        <w:rPr/>
        <w:t xml:space="preserve"> </w:t>
      </w:r>
    </w:p>
    <w:p>
      <w:pPr>
        <w:pStyle w:val="Normal"/>
        <w:spacing w:lineRule="auto" w:line="240" w:before="0" w:after="0"/>
        <w:rPr/>
      </w:pPr>
      <w:r>
        <w:rPr>
          <w:b/>
          <w:bCs/>
        </w:rPr>
        <w:t>a) Dane profilu Pracowni</w:t>
      </w:r>
      <w:r>
        <w:rPr/>
        <w:t> (nazwa firmy, lokalizacja, numer telefonu oraz dobrowolnie wskazane przez Użytkownika informacje o specjalizacjach, technologiach, czasie realizacji i zdjęcia prac) są prezentowane w katalogu wykonawców dostępnym w Serwisie w celu umożliwienia nawiązania współpracy.</w:t>
      </w:r>
    </w:p>
    <w:p>
      <w:pPr>
        <w:pStyle w:val="Normal"/>
        <w:spacing w:lineRule="auto" w:line="240" w:before="0" w:after="0"/>
        <w:rPr/>
      </w:pPr>
      <w:r>
        <w:rPr>
          <w:b/>
          <w:bCs/>
        </w:rPr>
        <w:t>b) Dane gabinetu</w:t>
      </w:r>
      <w:r>
        <w:rPr/>
        <w:t> nie są publikowane w publicznych katalogach Serwisu. Na etapie publikacji Zlecenia Pracownie widzą jedynie nazwę Gabinetu, miejscowość oraz preferowany sposób przekazania prac. Pełne dane teleadresowe Gabinetu (dokładny adres doręczenia/odbioru oraz telefon kontaktowy) są udostępniane wyłącznie Pracowni wybranej do realizacji danego Zlecenia, w zakresie niezbędnym do wykonania usługi i koordynacji logistycznej.</w:t>
      </w:r>
    </w:p>
    <w:p>
      <w:pPr>
        <w:pStyle w:val="Normal"/>
        <w:numPr>
          <w:ilvl w:val="0"/>
          <w:numId w:val="4"/>
        </w:numPr>
        <w:spacing w:lineRule="auto" w:line="240" w:before="90" w:after="90"/>
        <w:ind w:hanging="360" w:left="0" w:right="0"/>
        <w:rPr/>
      </w:pPr>
      <w:r>
        <w:rPr/>
        <w:t>Numery NIP oraz dane rozliczeniowe Użytkowników nie są udostępniane publicznie innym Użytkownikom Serwisu.</w:t>
      </w:r>
    </w:p>
    <w:p>
      <w:pPr>
        <w:pStyle w:val="Compact"/>
        <w:spacing w:before="0" w:after="60"/>
        <w:ind w:left="720" w:right="0"/>
        <w:rPr/>
      </w:pPr>
      <w:r>
        <w:rPr/>
      </w:r>
    </w:p>
    <w:p>
      <w:pPr>
        <w:pStyle w:val="Compact"/>
        <w:numPr>
          <w:ilvl w:val="0"/>
          <w:numId w:val="3"/>
        </w:numPr>
        <w:spacing w:before="0" w:after="60"/>
        <w:rPr/>
      </w:pPr>
      <w:r>
        <w:rPr>
          <w:b/>
          <w:bCs/>
        </w:rPr>
        <w:t>Dane Zleceń i Dostępności:</w:t>
      </w:r>
      <w:r>
        <w:rPr/>
        <w:t xml:space="preserve"> dane techniczne Zlecenia (rodzaj pracy, materiał, kolor, termin, sposób dostawy lub odbioru, uwagi techniczne), statusy realizacji, deklaracje Dostępności Pracowni, wiadomości wymieniane między Użytkownikami oraz historia tych zdarzeń. Zlecenia nie mogą zawierać danych pacjentów (punkt 5).</w:t>
      </w:r>
    </w:p>
    <w:p>
      <w:pPr>
        <w:pStyle w:val="Compact"/>
        <w:numPr>
          <w:ilvl w:val="0"/>
          <w:numId w:val="3"/>
        </w:numPr>
        <w:spacing w:before="0" w:after="60"/>
        <w:rPr/>
      </w:pPr>
      <w:r>
        <w:rPr>
          <w:b/>
          <w:bCs/>
        </w:rPr>
        <w:t>Dane rozliczeniowe:</w:t>
      </w:r>
      <w:r>
        <w:rPr/>
        <w:t xml:space="preserve"> obecnie nie przetwarzamy danych płatniczych ani danych do faktur, ponieważ Serwis jest bezpłatny. Gdy wprowadzimy opłaty, zaktualizujemy Politykę i wskażemy dostawcę płatności oraz zakres danych.</w:t>
      </w:r>
    </w:p>
    <w:p>
      <w:pPr>
        <w:pStyle w:val="Compact"/>
        <w:numPr>
          <w:ilvl w:val="0"/>
          <w:numId w:val="3"/>
        </w:numPr>
        <w:spacing w:before="0" w:after="60"/>
        <w:rPr/>
      </w:pPr>
      <w:r>
        <w:rPr>
          <w:b/>
          <w:bCs/>
        </w:rPr>
        <w:t>Dane techniczne zbierane automatycznie:</w:t>
      </w:r>
      <w:r>
        <w:rPr/>
        <w:t xml:space="preserve"> adres IP, typ urządzenia, system operacyjny, przeglądarka, język, strefa czasowa, daty i godziny logowania, identyfikatory sesji, logi błędów oraz dane o aktywności w Serwisie. Informacje przechowywane w przeglądarce opisuje punkt 7.</w:t>
      </w:r>
    </w:p>
    <w:p>
      <w:pPr>
        <w:pStyle w:val="Compact"/>
        <w:numPr>
          <w:ilvl w:val="0"/>
          <w:numId w:val="3"/>
        </w:numPr>
        <w:spacing w:before="0" w:after="60"/>
        <w:rPr/>
      </w:pPr>
      <w:r>
        <w:rPr>
          <w:b/>
          <w:bCs/>
        </w:rPr>
        <w:t>Lokalizacja:</w:t>
      </w:r>
      <w:r>
        <w:rPr/>
        <w:t xml:space="preserve"> podstawą do prezentacji pracowni w danym regionie i wyliczania odległości są adresy wpisane w profilu użytkownika oraz w zleceniu.Precyzyjna lokalizacja urządzenia (GPS) </w:t>
      </w:r>
      <w:r>
        <w:rPr>
          <w:bCs/>
        </w:rPr>
        <w:t>nie jest pobierana automatycznie</w:t>
      </w:r>
      <w:r>
        <w:rPr/>
        <w:t> – jej użycie jest całkowicie opcjonalne i następuje wyłącznie na wyraźne żądanie użytkownika (np. kliknięcie funkcji wyszukania najbliższych pracowni), </w:t>
      </w:r>
      <w:r>
        <w:rPr>
          <w:bCs/>
        </w:rPr>
        <w:t>poprzez natywny komunikat uprawnień wyświetlany przez przeglądarkę internetową (Zezwól/Blokuj)</w:t>
      </w:r>
      <w:r>
        <w:rPr/>
        <w:t>. Pobrana w ten sposób lokalizacja jest wykorzystywana jedynie w czasie trwania sesji i nie jest trwale zapisywana w bazie danych ani przypisywana do konta użytkownika.</w:t>
      </w:r>
    </w:p>
    <w:p>
      <w:pPr>
        <w:pStyle w:val="Compact"/>
        <w:numPr>
          <w:ilvl w:val="0"/>
          <w:numId w:val="3"/>
        </w:numPr>
        <w:spacing w:before="0" w:after="60"/>
        <w:rPr/>
      </w:pPr>
      <w:r>
        <w:rPr>
          <w:b/>
          <w:bCs/>
        </w:rPr>
        <w:t>Korespondencja z nami:</w:t>
      </w:r>
      <w:r>
        <w:rPr/>
        <w:t xml:space="preserve"> treść wiadomości e-mail i zgłoszeń, w tym zgłoszeń treści, reklamacji i sprzeciwów.</w:t>
      </w:r>
    </w:p>
    <w:p>
      <w:pPr>
        <w:pStyle w:val="FirstParagraph"/>
        <w:rPr/>
      </w:pPr>
      <w:r>
        <w:rPr/>
        <w:t>Większość danych podajesz nam sam, część powstaje automatycznie podczas korzystania z Serwisu. Dodatkowo otrzymujemy:</w:t>
      </w:r>
    </w:p>
    <w:p>
      <w:pPr>
        <w:pStyle w:val="Compact"/>
        <w:numPr>
          <w:ilvl w:val="0"/>
          <w:numId w:val="2"/>
        </w:numPr>
        <w:spacing w:before="0" w:after="60"/>
        <w:rPr/>
      </w:pPr>
      <w:r>
        <w:rPr/>
        <w:t>dane firmy z rejestrów publicznych (CEIDG, KRS, REGON, wykaz podatników VAT) w celu weryfikacji działalności, szczegóły dotyczące weryfikacji działalności znajdują się w Regulaminie.</w:t>
      </w:r>
    </w:p>
    <w:p>
      <w:pPr>
        <w:pStyle w:val="Compact"/>
        <w:numPr>
          <w:ilvl w:val="0"/>
          <w:numId w:val="2"/>
        </w:numPr>
        <w:spacing w:before="0" w:after="60"/>
        <w:rPr/>
      </w:pPr>
      <w:r>
        <w:rPr/>
        <w:t>dane osoby kontaktowej (imię i nazwisko, dane kontaktowe, stanowisko) od Użytkownika, który założył Konto firmowe lub wskazał Cię jako osobę korzystającą z Konta.</w:t>
      </w:r>
    </w:p>
    <w:p>
      <w:pPr>
        <w:pStyle w:val="FirstParagraph"/>
        <w:rPr/>
      </w:pPr>
      <w:r>
        <w:rPr/>
        <w:t>Podanie danych niezbędnych do założenia Konta jest dobrowolne, ale bez nich nie możemy świadczyć usługi, są to: nazwa firmy, ulica i numer, kod pocztowy, miasto, NIP, numer telefonu</w:t>
      </w:r>
    </w:p>
    <w:p>
      <w:pPr>
        <w:pStyle w:val="Heading1"/>
        <w:ind w:hanging="0" w:left="0"/>
        <w:rPr/>
      </w:pPr>
      <w:bookmarkStart w:id="5" w:name="jakie-dane-przetwarzamy-i-skąd-je-mamy"/>
      <w:bookmarkStart w:id="6" w:name="X57a937f9886b6435d0688d08db3f599a9babd99"/>
      <w:bookmarkEnd w:id="5"/>
      <w:bookmarkEnd w:id="6"/>
      <w:r>
        <w:rPr/>
        <w:t>4. Cele, podstawy prawne i okresy przechowywania</w:t>
      </w:r>
    </w:p>
    <w:p>
      <w:pPr>
        <w:pStyle w:val="FirstParagraph"/>
        <w:rPr/>
      </w:pPr>
      <w:r>
        <w:rPr/>
        <w:t>Podstawy prawne wskazują przepisy RODO: art. 6 ust. 1 lit. a (zgoda), lit. b (wykonanie umowy lub działania przed jej zawarciem), lit. c (obowiązek prawny) i lit. f (prawnie uzasadniony interes). Gdy Użytkownik jest osobą prawną lub spółką, a dane dotyczą jego pracowników lub osób kontaktowych, podstawą jest co do zasady prawnie uzasadniony interes w realizacji umowy z tym podmiotem.</w:t>
      </w:r>
    </w:p>
    <w:tbl>
      <w:tblPr>
        <w:tblW w:w="5000" w:type="pct"/>
        <w:jc w:val="left"/>
        <w:tblInd w:w="0" w:type="dxa"/>
        <w:tblLayout w:type="fixed"/>
        <w:tblCellMar>
          <w:top w:w="50" w:type="dxa"/>
          <w:left w:w="90" w:type="dxa"/>
          <w:bottom w:w="50" w:type="dxa"/>
          <w:right w:w="90" w:type="dxa"/>
        </w:tblCellMar>
      </w:tblPr>
      <w:tblGrid>
        <w:gridCol w:w="2647"/>
        <w:gridCol w:w="1994"/>
        <w:gridCol w:w="2190"/>
        <w:gridCol w:w="2241"/>
      </w:tblGrid>
      <w:tr>
        <w:trPr>
          <w:tblHeader w:val="true"/>
        </w:trPr>
        <w:tc>
          <w:tcPr>
            <w:tcW w:w="2647"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Cel</w:t>
            </w:r>
          </w:p>
        </w:tc>
        <w:tc>
          <w:tcPr>
            <w:tcW w:w="1994"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Dane</w:t>
            </w:r>
          </w:p>
        </w:tc>
        <w:tc>
          <w:tcPr>
            <w:tcW w:w="2190"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Podstawa prawna</w:t>
            </w:r>
          </w:p>
        </w:tc>
        <w:tc>
          <w:tcPr>
            <w:tcW w:w="2241"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Okres przechowywania</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Założenie i prowadzenie Konta, udostępnianie funkcji Serwisu (Zlecenia, Dopasowanie, statusy, wiadomości)</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dane konta, firmy, Zleceń, wiadomości</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b; wobec osób działających w imieniu Użytkownika lit. f</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usunięcia Konta, następnie usunięcie w ciągu 30 dni</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Powiadomienia o zdarzeniach w Serwisie (nowe Zlecenie, zmiana statusu, zmiana Regulaminu)</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e-mail, treść powiadomienia</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val="en-US" w:eastAsia="pl-PL"/>
              </w:rPr>
            </w:pPr>
            <w:r>
              <w:rPr>
                <w:sz w:val="19"/>
                <w:szCs w:val="20"/>
                <w:lang w:val="en-US" w:eastAsia="pl-PL"/>
              </w:rPr>
              <w:t>lit. b lub lit. f</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usunięcia Konta</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Weryfikacja Użytkowników jako podmiotów prowadzących działalność</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dane firmy, dane z rejestrów publicznych</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f (wiarygodność i bezpieczeństwo platformy)</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usunięcia Konta</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Bezpieczeństwo, zapobieganie nadużyciom (np. wielokrotne konta, spam, scraping), utrzymanie systemów</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dane techniczne, logi, aktywność</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f</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logi: 12 miesięcy</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Obsługa zgłoszeń, reklamacji, sprzeciwów i zgłoszeń treści</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dane konta, treść korespondencji</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b lub lit. f; lit. c, gdy obowiązek wynika z przepisów (np. akt o usługach cyfrowych)</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rozpatrzenia sprawy, a następnie do upływu terminów przedawnienia roszczeń</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Dochodzenie i obrona roszczeń</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dane niezbędne do ustalenia, dochodzenia lub obrony roszczeń</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f</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przedawnienia roszczeń</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Statystyki i rozwój Serwisu</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dane o aktywności, w miarę możliwości zanonimizowane</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f; analityka z użyciem cookies: lit. a</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czasu anonimizacji lub wycofania zgody</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Marketing własnych usług (newsletter, oferty)</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e-mail, imię, nazwa firmy</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zgoda (lit. a RODO oraz art. 398 Prawa komunikacji elektronicznej)</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wycofania zgody</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Powiadomienia przeglądarki (web push)</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identyfikator subskrypcji przeglądarki</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zgoda</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wycofania zgody lub wygaśnięcia subskrypcji</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Cookies i podobne technologie inne niż niezbędne niż niezbędne do prawidłowego wyświetlania treści w ramach serwisu</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identyfikatory online</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zgoda (art. 399 Prawa komunikacji elektronicznej oraz lit. a RODO)</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zgodnie z punktem 7</w:t>
            </w:r>
          </w:p>
        </w:tc>
      </w:tr>
      <w:tr>
        <w:trPr/>
        <w:tc>
          <w:tcPr>
            <w:tcW w:w="2647"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Wypełnianie obowiązków wobec organów publicznych i sądów</w:t>
            </w:r>
          </w:p>
        </w:tc>
        <w:tc>
          <w:tcPr>
            <w:tcW w:w="1994"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zależnie od żądania</w:t>
            </w:r>
          </w:p>
        </w:tc>
        <w:tc>
          <w:tcPr>
            <w:tcW w:w="219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lit. c</w:t>
            </w:r>
          </w:p>
        </w:tc>
        <w:tc>
          <w:tcPr>
            <w:tcW w:w="224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zgodnie z przepisami</w:t>
            </w:r>
          </w:p>
        </w:tc>
      </w:tr>
    </w:tbl>
    <w:p>
      <w:pPr>
        <w:pStyle w:val="Heading1"/>
        <w:ind w:hanging="0" w:left="0"/>
        <w:rPr/>
      </w:pPr>
      <w:bookmarkStart w:id="7" w:name="X57a937f9886b6435d0688d08db3f599a9babd99"/>
      <w:bookmarkStart w:id="8" w:name="dane-pacjentów"/>
      <w:bookmarkEnd w:id="7"/>
      <w:bookmarkEnd w:id="8"/>
      <w:r>
        <w:rPr/>
        <w:t>5. Dane pacjentów</w:t>
      </w:r>
    </w:p>
    <w:p>
      <w:pPr>
        <w:pStyle w:val="Compact"/>
        <w:numPr>
          <w:ilvl w:val="0"/>
          <w:numId w:val="8"/>
        </w:numPr>
        <w:spacing w:before="0" w:after="60"/>
        <w:rPr/>
      </w:pPr>
      <w:r>
        <w:rPr/>
        <w:t>Serwis jest zaprojektowany tak, aby nie przetwarzać danych pacjentów. Regulamin zakazuje wprowadzania do Serwisu imion, nazwisk, inicjałów, numerów PESEL, dat urodzenia, danych kontaktowych pacjentów, zdjęć, skanów, wycisków oraz dokumentacji medycznej. Zlecenie zawiera wyłącznie dane techniczne (np. rodzaj pracy, numery zębów, materiał, kolor, termin) i neutralne oznaczenie robocze, na podstawie których nie możemy zidentyfikować pacjenta.</w:t>
      </w:r>
    </w:p>
    <w:p>
      <w:pPr>
        <w:pStyle w:val="Compact"/>
        <w:numPr>
          <w:ilvl w:val="0"/>
          <w:numId w:val="3"/>
        </w:numPr>
        <w:spacing w:before="0" w:after="60"/>
        <w:rPr/>
      </w:pPr>
      <w:r>
        <w:rPr/>
        <w:t>Wyciski, skany i dokumentację medyczną Gabinet i Pracownia przekazują sobie poza Serwisem, na własną odpowiedzialność i zgodnie z przepisami. Administrator nie jest podmiotem przetwarzającym dane pacjentów Gabinetu i nie zawiera w tym zakresie umów powierzenia (art. 28 RODO).</w:t>
      </w:r>
    </w:p>
    <w:p>
      <w:pPr>
        <w:pStyle w:val="Compact"/>
        <w:numPr>
          <w:ilvl w:val="0"/>
          <w:numId w:val="3"/>
        </w:numPr>
        <w:spacing w:before="0" w:after="60"/>
        <w:rPr/>
      </w:pPr>
      <w:r>
        <w:rPr/>
        <w:t>Jeżeli mimo zakazu Użytkownik wprowadzi dane pacjenta, nie wykorzystamy ich do żadnego celu, w tym do marketingu, profilowania, analiz ani trenowania modeli uczenia maszynowego. Usuniemy je lub zanonimizujemy niezwłocznie po wykryciu lub zgłoszeniu, poinformujemy o tym Użytkownika, a w razie potrzeby ocenimy, czy doszło do naruszenia ochrony danych, i podejmiemy działania wymagane przepisami.</w:t>
      </w:r>
    </w:p>
    <w:p>
      <w:pPr>
        <w:pStyle w:val="Compact"/>
        <w:numPr>
          <w:ilvl w:val="0"/>
          <w:numId w:val="3"/>
        </w:numPr>
        <w:spacing w:before="0" w:after="60"/>
        <w:rPr/>
      </w:pPr>
      <w:r>
        <w:rPr/>
        <w:t>Jeśli jesteś pacjentem i uważasz, że Twoje dane znalazły się w Serwisie, napisz na kontakt@labbipl. Usuniemy te dane i o ile będzie to możliwe, poinformujemy o sprawie Gabinet, który je zamieścił, jako odpowiedzialny za ich ujawnienie.</w:t>
      </w:r>
    </w:p>
    <w:p>
      <w:pPr>
        <w:pStyle w:val="Heading1"/>
        <w:ind w:hanging="0" w:left="0"/>
        <w:rPr/>
      </w:pPr>
      <w:bookmarkStart w:id="9" w:name="dane-pacjentów"/>
      <w:bookmarkStart w:id="10" w:name="odbiorcy-danych-i-przekazywanie-poza-eog"/>
      <w:bookmarkEnd w:id="9"/>
      <w:bookmarkEnd w:id="10"/>
      <w:r>
        <w:rPr/>
        <w:t>6. Odbiorcy danych i przekazywanie poza EOG</w:t>
      </w:r>
    </w:p>
    <w:p>
      <w:pPr>
        <w:pStyle w:val="Compact"/>
        <w:numPr>
          <w:ilvl w:val="0"/>
          <w:numId w:val="9"/>
        </w:numPr>
        <w:spacing w:before="0" w:after="60"/>
        <w:rPr/>
      </w:pPr>
      <w:r>
        <w:rPr>
          <w:b/>
          <w:bCs/>
        </w:rPr>
        <w:t>Inni Użytkownicy.</w:t>
      </w:r>
      <w:r>
        <w:rPr/>
        <w:t xml:space="preserve"> Dane profilu (nazwa, lokalizacja, zakres usług, dane kontaktowe) są widoczne dla innych Użytkowników. Zlecenie jest widoczne dla Gabinetu, który je zamieścił, oraz dla Pracowni, do której zostało skierowane lub rozesłane, a wiadomości dla uczestników rozmowy.</w:t>
      </w:r>
    </w:p>
    <w:p>
      <w:pPr>
        <w:pStyle w:val="Compact"/>
        <w:numPr>
          <w:ilvl w:val="0"/>
          <w:numId w:val="3"/>
        </w:numPr>
        <w:spacing w:before="0" w:after="60"/>
        <w:rPr/>
      </w:pPr>
      <w:r>
        <w:rPr>
          <w:b/>
          <w:bCs/>
        </w:rPr>
        <w:t>Dostawcy wspierający działanie Serwisu</w:t>
      </w:r>
      <w:r>
        <w:rPr/>
        <w:t xml:space="preserve"> (podmioty przetwarzające na podstawie umów powierzenia, art. 28 RODO):</w:t>
      </w:r>
    </w:p>
    <w:p>
      <w:pPr>
        <w:pStyle w:val="Normal"/>
        <w:spacing w:lineRule="auto" w:line="240" w:before="0" w:after="280"/>
        <w:ind w:left="720" w:right="0"/>
        <w:rPr/>
      </w:pPr>
      <w:r>
        <w:rPr/>
        <w:t>Twoje dane osobowe mogą być powierzane do przetwarzania zewnętrznym dostawcom świadczącym usługi na naszą rzecz, wyłącznie w zakresie niezbędnym do realizacji określonych celów:</w:t>
      </w:r>
    </w:p>
    <w:p>
      <w:pPr>
        <w:pStyle w:val="Normal"/>
        <w:numPr>
          <w:ilvl w:val="0"/>
          <w:numId w:val="2"/>
        </w:numPr>
        <w:spacing w:lineRule="auto" w:line="240" w:before="0" w:after="0"/>
        <w:rPr/>
      </w:pPr>
      <w:r>
        <w:rPr/>
        <w:t>dostawcom usług hostingu, infrastruktury chmurowej i baz danych – w celu bezpiecznego utrzymania i funkcjonowania platformy,</w:t>
      </w:r>
    </w:p>
    <w:p>
      <w:pPr>
        <w:pStyle w:val="Normal"/>
        <w:numPr>
          <w:ilvl w:val="0"/>
          <w:numId w:val="2"/>
        </w:numPr>
        <w:spacing w:lineRule="auto" w:line="240" w:before="0" w:after="0"/>
        <w:rPr/>
      </w:pPr>
      <w:r>
        <w:rPr/>
        <w:t>dostawcom usług poczty elektronicznej i powiadomień transakcyjnych – w celu obsługi korespondencji oraz wysyłki powiadomień o zleceniach,</w:t>
      </w:r>
    </w:p>
    <w:p>
      <w:pPr>
        <w:pStyle w:val="Normal"/>
        <w:numPr>
          <w:ilvl w:val="0"/>
          <w:numId w:val="2"/>
        </w:numPr>
        <w:spacing w:lineRule="auto" w:line="240" w:before="0" w:after="0"/>
        <w:rPr/>
      </w:pPr>
      <w:r>
        <w:rPr/>
        <w:t>dostawcom usług wsparcia informatycznego i serwisowego – w celu utrzymania ciągłości działania i rozwoju funkcjonalności Serwisu,</w:t>
      </w:r>
    </w:p>
    <w:p>
      <w:pPr>
        <w:pStyle w:val="Normal"/>
        <w:numPr>
          <w:ilvl w:val="0"/>
          <w:numId w:val="2"/>
        </w:numPr>
        <w:spacing w:lineRule="auto" w:line="240" w:before="0" w:after="0"/>
        <w:rPr/>
      </w:pPr>
      <w:r>
        <w:rPr/>
        <w:t>dostawcom narzędzi analitycznych i statystycznych (wyłącznie za Twoją uprzednią, dobrowolną zgodą wyrażoną w banerze cookies) – w celu optymalizacji działania Serwisu.</w:t>
      </w:r>
    </w:p>
    <w:p>
      <w:pPr>
        <w:pStyle w:val="Normal"/>
        <w:spacing w:lineRule="auto" w:line="240" w:before="0" w:after="0"/>
        <w:ind w:left="720" w:right="0"/>
        <w:rPr/>
      </w:pPr>
      <w:r>
        <w:rPr/>
      </w:r>
    </w:p>
    <w:p>
      <w:pPr>
        <w:pStyle w:val="Compact"/>
        <w:numPr>
          <w:ilvl w:val="0"/>
          <w:numId w:val="3"/>
        </w:numPr>
        <w:spacing w:before="0" w:after="60"/>
        <w:rPr/>
      </w:pPr>
      <w:r>
        <w:rPr>
          <w:b/>
          <w:bCs/>
        </w:rPr>
        <w:t>Płatności.</w:t>
      </w:r>
      <w:r>
        <w:rPr/>
        <w:t xml:space="preserve"> Obecnie Serwis jest bezpłatny i nie korzystamy z dostawcy płatności. Gdy wprowadzimy opłaty, wskażemy w Polityce dostawcę płatności.</w:t>
      </w:r>
    </w:p>
    <w:p>
      <w:pPr>
        <w:pStyle w:val="Compact"/>
        <w:numPr>
          <w:ilvl w:val="0"/>
          <w:numId w:val="3"/>
        </w:numPr>
        <w:spacing w:before="0" w:after="60"/>
        <w:rPr/>
      </w:pPr>
      <w:r>
        <w:rPr>
          <w:b/>
          <w:bCs/>
        </w:rPr>
        <w:t>Podmioty uprawnione z mocy prawa:</w:t>
      </w:r>
      <w:r>
        <w:rPr/>
        <w:t xml:space="preserve"> sądy, organy podatkowe, ścigania i nadzorcze, jeśli wymaga tego prawo.</w:t>
      </w:r>
    </w:p>
    <w:p>
      <w:pPr>
        <w:pStyle w:val="Compact"/>
        <w:numPr>
          <w:ilvl w:val="0"/>
          <w:numId w:val="3"/>
        </w:numPr>
        <w:spacing w:before="0" w:after="60"/>
        <w:rPr/>
      </w:pPr>
      <w:r>
        <w:rPr>
          <w:b/>
          <w:bCs/>
        </w:rPr>
        <w:t>Następca prawny.</w:t>
      </w:r>
      <w:r>
        <w:rPr/>
        <w:t xml:space="preserve"> W razie sprzedaży lub przekształcenia działalności dane mogą zostać przekazane następcy prawnemu, który będzie je przetwarzał na zasadach tej Polityki. Poinformujemy Cię o tym.</w:t>
      </w:r>
    </w:p>
    <w:p>
      <w:pPr>
        <w:pStyle w:val="Compact"/>
        <w:numPr>
          <w:ilvl w:val="0"/>
          <w:numId w:val="3"/>
        </w:numPr>
        <w:spacing w:before="0" w:after="60"/>
        <w:rPr/>
      </w:pPr>
      <w:r>
        <w:rPr/>
        <w:t>Nie sprzedajemy danych osobowych i nie pozwalamy dostawcom używać ich do własnych celów, z wyjątkiem Lovable, który przetwarza dane o korzystaniu z infrastruktury i logi (np. adres IP, typ przeglądarki, znaczniki czasu, identyfikatory sesji), także użytkowników i odwiedzających Serwis, jako odrębny administrator w celach bezpieczeństwa, rozliczeń i rozwoju własnej usługi, zgodnie z jego polityką prywatności.</w:t>
      </w:r>
    </w:p>
    <w:p>
      <w:pPr>
        <w:pStyle w:val="Compact"/>
        <w:numPr>
          <w:ilvl w:val="0"/>
          <w:numId w:val="3"/>
        </w:numPr>
        <w:spacing w:before="0" w:after="60"/>
        <w:rPr/>
      </w:pPr>
      <w:r>
        <w:rPr>
          <w:b/>
          <w:bCs/>
        </w:rPr>
        <w:t>Przekazywanie poza EOG.</w:t>
      </w:r>
      <w:r>
        <w:rPr/>
        <w:t xml:space="preserve"> Dane w bazie przechowujemy na serwerach w Europejskim Obszarze Gospodarczym (AWS, Irlandia). Niektórzy dostawcy (m.in. Lovable, Cloudflare, Google) mogą przetwarzać dane techniczne także poza EOG, w szczególności w USA. Odbywa się to na podstawie decyzji Komisji Europejskiej o odpowiednim stopniu ochrony (w tym Data Privacy Framework dla certyfikowanych podmiotów) albo standardowych klauzul umownych. Kopię zabezpieczeń można uzyskać pod adresem kontakt@labbi.pl.</w:t>
      </w:r>
    </w:p>
    <w:p>
      <w:pPr>
        <w:pStyle w:val="Heading1"/>
        <w:ind w:hanging="0" w:left="0"/>
        <w:rPr/>
      </w:pPr>
      <w:bookmarkStart w:id="11" w:name="odbiorcy-danych-i-przekazywanie-poza-eog"/>
      <w:bookmarkStart w:id="12" w:name="X7d55e643127bb92dbd96e59fecbf2ba84411ba3"/>
      <w:bookmarkEnd w:id="11"/>
      <w:bookmarkEnd w:id="12"/>
      <w:r>
        <w:rPr/>
        <w:t>7. Cookies, pamięć przeglądarki i powiadomienia</w:t>
      </w:r>
    </w:p>
    <w:p>
      <w:pPr>
        <w:pStyle w:val="Normal"/>
        <w:numPr>
          <w:ilvl w:val="0"/>
          <w:numId w:val="10"/>
        </w:numPr>
        <w:rPr/>
      </w:pPr>
      <w:r>
        <w:rPr/>
        <w:t>Serwis korzysta z plików cookies oraz podobnych technologii (np. localStorage, sessionStorage) zgodnie z art. 399 Prawa komunikacji elektronicznej. Technologie niezbędne do działania Serwisu (np. sesja logowania, bezpieczeństwo, zapamiętanie wyboru dotyczącego cookies) stosujemy bez zgody. Pozostałe wymagają Twojej zgody wyrażonej w banerze cookies przed ich zapisaniem.</w:t>
      </w:r>
    </w:p>
    <w:p>
      <w:pPr>
        <w:pStyle w:val="Normal"/>
        <w:numPr>
          <w:ilvl w:val="0"/>
          <w:numId w:val="3"/>
        </w:numPr>
        <w:rPr/>
      </w:pPr>
      <w:r>
        <w:rPr/>
        <w:t>Zgodę możesz w każdej chwili wycofać lub zmienić w ustawieniach cookies w Serwisie (https://labbi.pl/cookies) albo w ustawieniach przeglądarki. Wycofanie zgody nie wpływa na zgodność z prawem wcześniejszego przetwarzania.</w:t>
      </w:r>
    </w:p>
    <w:p>
      <w:pPr>
        <w:pStyle w:val="Normal"/>
        <w:numPr>
          <w:ilvl w:val="0"/>
          <w:numId w:val="3"/>
        </w:numPr>
        <w:rPr/>
      </w:pPr>
      <w:r>
        <w:rPr/>
        <w:t>Zakres stosowanych technologii:</w:t>
      </w:r>
    </w:p>
    <w:tbl>
      <w:tblPr>
        <w:tblW w:w="5000" w:type="pct"/>
        <w:jc w:val="left"/>
        <w:tblInd w:w="720" w:type="dxa"/>
        <w:tblLayout w:type="fixed"/>
        <w:tblCellMar>
          <w:top w:w="50" w:type="dxa"/>
          <w:left w:w="90" w:type="dxa"/>
          <w:bottom w:w="50" w:type="dxa"/>
          <w:right w:w="90" w:type="dxa"/>
        </w:tblCellMar>
      </w:tblPr>
      <w:tblGrid>
        <w:gridCol w:w="2610"/>
        <w:gridCol w:w="3411"/>
        <w:gridCol w:w="1113"/>
        <w:gridCol w:w="1938"/>
      </w:tblGrid>
      <w:tr>
        <w:trPr>
          <w:tblHeader w:val="true"/>
        </w:trPr>
        <w:tc>
          <w:tcPr>
            <w:tcW w:w="2610"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Kategoria</w:t>
            </w:r>
          </w:p>
        </w:tc>
        <w:tc>
          <w:tcPr>
            <w:tcW w:w="3411"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Cel</w:t>
            </w:r>
          </w:p>
        </w:tc>
        <w:tc>
          <w:tcPr>
            <w:tcW w:w="1113"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Zgoda</w:t>
            </w:r>
          </w:p>
        </w:tc>
        <w:tc>
          <w:tcPr>
            <w:tcW w:w="1938" w:type="dxa"/>
            <w:tcBorders>
              <w:top w:val="single" w:sz="4" w:space="0" w:color="999999"/>
              <w:left w:val="single" w:sz="4" w:space="0" w:color="999999"/>
              <w:bottom w:val="single" w:sz="6" w:space="0" w:color="000000"/>
              <w:right w:val="single" w:sz="4" w:space="0" w:color="999999"/>
            </w:tcBorders>
            <w:shd w:fill="E7E6E6" w:val="clear"/>
            <w:vAlign w:val="bottom"/>
          </w:tcPr>
          <w:p>
            <w:pPr>
              <w:pStyle w:val="Compact"/>
              <w:spacing w:before="0" w:after="40"/>
              <w:jc w:val="left"/>
              <w:rPr>
                <w:szCs w:val="20"/>
                <w:lang w:eastAsia="pl-PL"/>
              </w:rPr>
            </w:pPr>
            <w:r>
              <w:rPr>
                <w:b/>
                <w:sz w:val="19"/>
                <w:szCs w:val="20"/>
                <w:lang w:eastAsia="pl-PL"/>
              </w:rPr>
              <w:t>Okres</w:t>
            </w:r>
          </w:p>
        </w:tc>
      </w:tr>
      <w:tr>
        <w:trPr/>
        <w:tc>
          <w:tcPr>
            <w:tcW w:w="261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Niezbędne</w:t>
            </w:r>
          </w:p>
        </w:tc>
        <w:tc>
          <w:tcPr>
            <w:tcW w:w="341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logowanie i sesja, ochrona przed nadużyciami, zapamiętanie ustawień cookies</w:t>
            </w:r>
          </w:p>
        </w:tc>
        <w:tc>
          <w:tcPr>
            <w:tcW w:w="1113"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nie wymagana</w:t>
            </w:r>
          </w:p>
        </w:tc>
        <w:tc>
          <w:tcPr>
            <w:tcW w:w="1938"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sesja lub do 12 miesięcy</w:t>
            </w:r>
          </w:p>
        </w:tc>
      </w:tr>
      <w:tr>
        <w:trPr/>
        <w:tc>
          <w:tcPr>
            <w:tcW w:w="261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val="en-US" w:eastAsia="pl-PL"/>
              </w:rPr>
            </w:pPr>
            <w:r>
              <w:rPr>
                <w:sz w:val="19"/>
                <w:szCs w:val="20"/>
                <w:lang w:val="en-US" w:eastAsia="pl-PL"/>
              </w:rPr>
              <w:t>Analityczne (Google Analytics 4, Google Ireland Limited)</w:t>
            </w:r>
          </w:p>
        </w:tc>
        <w:tc>
          <w:tcPr>
            <w:tcW w:w="341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statystyki odwiedzin i rozwój Serwisu</w:t>
            </w:r>
          </w:p>
        </w:tc>
        <w:tc>
          <w:tcPr>
            <w:tcW w:w="1113"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wymagana</w:t>
            </w:r>
          </w:p>
        </w:tc>
        <w:tc>
          <w:tcPr>
            <w:tcW w:w="1938"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do 24 miesięcy (cookies Google Analytics)</w:t>
            </w:r>
          </w:p>
        </w:tc>
      </w:tr>
      <w:tr>
        <w:trPr/>
        <w:tc>
          <w:tcPr>
            <w:tcW w:w="2610"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Marketingowe</w:t>
            </w:r>
          </w:p>
        </w:tc>
        <w:tc>
          <w:tcPr>
            <w:tcW w:w="3411"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Serwis nie stosuje obecnie plików cookies marketingowych</w:t>
            </w:r>
          </w:p>
        </w:tc>
        <w:tc>
          <w:tcPr>
            <w:tcW w:w="1113"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n/d</w:t>
            </w:r>
          </w:p>
        </w:tc>
        <w:tc>
          <w:tcPr>
            <w:tcW w:w="1938" w:type="dxa"/>
            <w:tcBorders>
              <w:top w:val="single" w:sz="4" w:space="0" w:color="999999"/>
              <w:left w:val="single" w:sz="4" w:space="0" w:color="999999"/>
              <w:bottom w:val="single" w:sz="4" w:space="0" w:color="999999"/>
              <w:right w:val="single" w:sz="4" w:space="0" w:color="999999"/>
            </w:tcBorders>
          </w:tcPr>
          <w:p>
            <w:pPr>
              <w:pStyle w:val="Compact"/>
              <w:spacing w:before="0" w:after="40"/>
              <w:jc w:val="left"/>
              <w:rPr>
                <w:szCs w:val="20"/>
                <w:lang w:eastAsia="pl-PL"/>
              </w:rPr>
            </w:pPr>
            <w:r>
              <w:rPr>
                <w:sz w:val="19"/>
                <w:szCs w:val="20"/>
                <w:lang w:eastAsia="pl-PL"/>
              </w:rPr>
              <w:t>n/d</w:t>
            </w:r>
          </w:p>
        </w:tc>
      </w:tr>
    </w:tbl>
    <w:p>
      <w:pPr>
        <w:pStyle w:val="Normal"/>
        <w:numPr>
          <w:ilvl w:val="0"/>
          <w:numId w:val="3"/>
        </w:numPr>
        <w:rPr/>
      </w:pPr>
      <w:r>
        <w:rPr>
          <w:b/>
          <w:bCs/>
        </w:rPr>
        <w:t>Powiadomienia przeglądarki (web push).</w:t>
      </w:r>
      <w:r>
        <w:rPr/>
        <w:t xml:space="preserve"> Jeżeli udzielisz zgody w oknie przeglądarki, będziemy wysyłać powiadomienia o zdarzeniach w Serwisie (np. nowe Zlecenie pasujące do Dostępności). Zapisujemy w tym celu identyfikator subskrypcji Twojej przeglądarki, który przekazujemy dostawcy usługi powiadomień Twojej przeglądarki. Zgodę wycofasz w ustawieniach przeglądarki lub Konta.</w:t>
      </w:r>
    </w:p>
    <w:p>
      <w:pPr>
        <w:pStyle w:val="Heading1"/>
        <w:ind w:hanging="0" w:left="0"/>
        <w:rPr/>
      </w:pPr>
      <w:bookmarkStart w:id="13" w:name="X7d55e643127bb92dbd96e59fecbf2ba84411ba3"/>
      <w:bookmarkStart w:id="14" w:name="marketing-i-komunikacja"/>
      <w:bookmarkEnd w:id="13"/>
      <w:bookmarkEnd w:id="14"/>
      <w:r>
        <w:rPr/>
        <w:t>8. Marketing i komunikacja</w:t>
      </w:r>
    </w:p>
    <w:p>
      <w:pPr>
        <w:pStyle w:val="Compact"/>
        <w:numPr>
          <w:ilvl w:val="0"/>
          <w:numId w:val="11"/>
        </w:numPr>
        <w:spacing w:before="0" w:after="60"/>
        <w:rPr/>
      </w:pPr>
      <w:r>
        <w:rPr>
          <w:b/>
          <w:bCs/>
        </w:rPr>
        <w:t>Wiadomości transakcyjne i serwisowe</w:t>
      </w:r>
      <w:r>
        <w:rPr/>
        <w:t xml:space="preserve"> (potwierdzenie rejestracji, nowe Zlecenie, zmiana statusu, zmiany Regulaminu) są częścią usługi i nie wymagają zgody marketingowej. Nie można z nich zrezygnować, dopóki masz Konto, z wyjątkiem tych, które w ustawieniach Konta oznaczono jako opcjonalne.</w:t>
      </w:r>
    </w:p>
    <w:p>
      <w:pPr>
        <w:pStyle w:val="Compact"/>
        <w:numPr>
          <w:ilvl w:val="0"/>
          <w:numId w:val="3"/>
        </w:numPr>
        <w:spacing w:before="0" w:after="60"/>
        <w:rPr/>
      </w:pPr>
      <w:r>
        <w:rPr>
          <w:b/>
          <w:bCs/>
        </w:rPr>
        <w:t>Marketing własnych usług</w:t>
      </w:r>
      <w:r>
        <w:rPr/>
        <w:t xml:space="preserve"> Labbi (newsletter, oferty, nowości) wysyłamy wyłącznie po uzyskaniu Twojej odrębnej zgody, także wobec przedsiębiorców i osób działających w ich imieniu (art. 398 Prawa komunikacji elektronicznej oraz RODO). Zgoda nie jest warunkiem założenia Konta.</w:t>
      </w:r>
    </w:p>
    <w:p>
      <w:pPr>
        <w:pStyle w:val="Compact"/>
        <w:numPr>
          <w:ilvl w:val="0"/>
          <w:numId w:val="3"/>
        </w:numPr>
        <w:spacing w:before="0" w:after="60"/>
        <w:rPr/>
      </w:pPr>
      <w:r>
        <w:rPr/>
        <w:t>Zgodę możesz wycofać w każdej chwili, klikając link w wiadomości, w ustawieniach Konta lub pisząc na kontakt@labbi.pl. Wycofanie zgody nie wpływa na zgodność z prawem wcześniejszego przetwarzania.</w:t>
      </w:r>
    </w:p>
    <w:p>
      <w:pPr>
        <w:pStyle w:val="Heading1"/>
        <w:ind w:hanging="0" w:left="0"/>
        <w:rPr/>
      </w:pPr>
      <w:bookmarkStart w:id="15" w:name="marketing-i-komunikacja"/>
      <w:bookmarkStart w:id="16" w:name="twoje-prawa-oraz-zautomatyzowane-decyzje"/>
      <w:bookmarkEnd w:id="15"/>
      <w:bookmarkEnd w:id="16"/>
      <w:r>
        <w:rPr/>
        <w:t>9. Twoje prawa oraz zautomatyzowane decyzje</w:t>
      </w:r>
    </w:p>
    <w:p>
      <w:pPr>
        <w:pStyle w:val="Compact"/>
        <w:numPr>
          <w:ilvl w:val="0"/>
          <w:numId w:val="12"/>
        </w:numPr>
        <w:spacing w:before="0" w:after="60"/>
        <w:rPr/>
      </w:pPr>
      <w:r>
        <w:rPr/>
        <w:t>Przysługuje Ci:</w:t>
      </w:r>
    </w:p>
    <w:p>
      <w:pPr>
        <w:pStyle w:val="Compact"/>
        <w:numPr>
          <w:ilvl w:val="1"/>
          <w:numId w:val="2"/>
        </w:numPr>
        <w:spacing w:before="0" w:after="60"/>
        <w:rPr/>
      </w:pPr>
      <w:r>
        <w:rPr/>
        <w:t>prawo dostępu do danych i otrzymania ich kopii (art. 15 RODO),</w:t>
      </w:r>
    </w:p>
    <w:p>
      <w:pPr>
        <w:pStyle w:val="Compact"/>
        <w:numPr>
          <w:ilvl w:val="1"/>
          <w:numId w:val="2"/>
        </w:numPr>
        <w:spacing w:before="0" w:after="60"/>
        <w:rPr/>
      </w:pPr>
      <w:r>
        <w:rPr/>
        <w:t>prawo do sprostowania danych (art. 16),</w:t>
      </w:r>
    </w:p>
    <w:p>
      <w:pPr>
        <w:pStyle w:val="Compact"/>
        <w:numPr>
          <w:ilvl w:val="1"/>
          <w:numId w:val="2"/>
        </w:numPr>
        <w:spacing w:before="0" w:after="60"/>
        <w:rPr/>
      </w:pPr>
      <w:r>
        <w:rPr/>
        <w:t>prawo do usunięcia danych (art. 17), gdy nie są już potrzebne lub przetwarzamy je bez podstawy,</w:t>
      </w:r>
    </w:p>
    <w:p>
      <w:pPr>
        <w:pStyle w:val="Compact"/>
        <w:numPr>
          <w:ilvl w:val="1"/>
          <w:numId w:val="2"/>
        </w:numPr>
        <w:spacing w:before="0" w:after="60"/>
        <w:rPr/>
      </w:pPr>
      <w:r>
        <w:rPr/>
        <w:t>prawo do ograniczenia przetwarzania (art. 18),</w:t>
      </w:r>
    </w:p>
    <w:p>
      <w:pPr>
        <w:pStyle w:val="Compact"/>
        <w:numPr>
          <w:ilvl w:val="1"/>
          <w:numId w:val="2"/>
        </w:numPr>
        <w:spacing w:before="0" w:after="60"/>
        <w:rPr/>
      </w:pPr>
      <w:r>
        <w:rPr/>
        <w:t>prawo do przenoszenia danych przetwarzanych na podstawie zgody lub umowy w sposób zautomatyzowany (art. 20),</w:t>
      </w:r>
    </w:p>
    <w:p>
      <w:pPr>
        <w:pStyle w:val="Compact"/>
        <w:numPr>
          <w:ilvl w:val="1"/>
          <w:numId w:val="2"/>
        </w:numPr>
        <w:spacing w:before="0" w:after="60"/>
        <w:rPr/>
      </w:pPr>
      <w:r>
        <w:rPr/>
        <w:t>prawo do sprzeciwu wobec przetwarzania opartego na prawnie uzasadnionym interesie, z przyczyn związanych z Twoją szczególną sytuacją (art. 21),</w:t>
      </w:r>
    </w:p>
    <w:p>
      <w:pPr>
        <w:pStyle w:val="Compact"/>
        <w:numPr>
          <w:ilvl w:val="1"/>
          <w:numId w:val="2"/>
        </w:numPr>
        <w:spacing w:before="0" w:after="60"/>
        <w:rPr/>
      </w:pPr>
      <w:r>
        <w:rPr/>
        <w:t>prawo do wycofania zgody w dowolnym momencie, bez wpływu na zgodność z prawem przetwarzania przed jej wycofaniem,</w:t>
      </w:r>
    </w:p>
    <w:p>
      <w:pPr>
        <w:pStyle w:val="Compact"/>
        <w:numPr>
          <w:ilvl w:val="1"/>
          <w:numId w:val="2"/>
        </w:numPr>
        <w:spacing w:before="0" w:after="60"/>
        <w:rPr/>
      </w:pPr>
      <w:r>
        <w:rPr/>
        <w:t>prawo do wniesienia skargi do organu nadzorczego (punkt 11).</w:t>
      </w:r>
    </w:p>
    <w:p>
      <w:pPr>
        <w:pStyle w:val="Compact"/>
        <w:numPr>
          <w:ilvl w:val="0"/>
          <w:numId w:val="3"/>
        </w:numPr>
        <w:spacing w:before="0" w:after="60"/>
        <w:rPr/>
      </w:pPr>
      <w:r>
        <w:rPr/>
        <w:t>Wniosek możesz złożyć w ustawieniach Konta (eksport i usunięcie danych) lub na kontakt@labbi.pl. Odpowiadamy bez zbędnej zwłoki, co do zasady w ciągu miesiąca; termin możemy przedłużyć o kolejne dwa miesiące przy skomplikowanych lub licznych żądaniach i wtedy o tym poinformujemy. Możemy poprosić o potwierdzenie tożsamości. Realizacja praw jest bezpłatna, chyba że żądania są ewidentnie nieuzasadnione lub nadmierne.</w:t>
      </w:r>
    </w:p>
    <w:p>
      <w:pPr>
        <w:pStyle w:val="Compact"/>
        <w:numPr>
          <w:ilvl w:val="0"/>
          <w:numId w:val="3"/>
        </w:numPr>
        <w:spacing w:before="0" w:after="60"/>
        <w:rPr/>
      </w:pPr>
      <w:r>
        <w:rPr>
          <w:b/>
          <w:bCs/>
        </w:rPr>
        <w:t>Zautomatyzowane decyzje i profilowanie.</w:t>
      </w:r>
      <w:r>
        <w:rPr/>
        <w:t xml:space="preserve"> Funkcja Dopasowania wskazuje Gabinetowi Pracownie na podstawie rodzaju pracy, terminu, regionu, zadeklarowanej Dostępności i specjalizacji z profilu. Ma ona charakter pomocniczy: o skierowaniu i przyjęciu Zlecenia decydują Użytkownicy, a Dopasowanie nie wywołuje wobec nikogo skutków prawnych ani w podobny sposób istotnie na niego nie wpływa w rozumieniu art. 22 RODO. Nie dokonujemy profilowania w celach marketingowych.</w:t>
      </w:r>
    </w:p>
    <w:p>
      <w:pPr>
        <w:pStyle w:val="Heading1"/>
        <w:ind w:hanging="0" w:left="0"/>
        <w:rPr/>
      </w:pPr>
      <w:bookmarkStart w:id="17" w:name="twoje-prawa-oraz-zautomatyzowane-decyzje"/>
      <w:bookmarkStart w:id="18" w:name="bezpieczeństwo-danych"/>
      <w:bookmarkEnd w:id="17"/>
      <w:bookmarkEnd w:id="18"/>
      <w:r>
        <w:rPr/>
        <w:t>10. Bezpieczeństwo danych</w:t>
      </w:r>
    </w:p>
    <w:p>
      <w:pPr>
        <w:pStyle w:val="FirstParagraph"/>
        <w:rPr/>
      </w:pPr>
      <w:r>
        <w:rPr/>
        <w:t>Stosujemy środki techniczne i organizacyjne dostosowane do ryzyka (art. 32 RODO), w tym:</w:t>
      </w:r>
    </w:p>
    <w:p>
      <w:pPr>
        <w:pStyle w:val="Compact"/>
        <w:numPr>
          <w:ilvl w:val="0"/>
          <w:numId w:val="2"/>
        </w:numPr>
        <w:spacing w:before="0" w:after="60"/>
        <w:rPr/>
      </w:pPr>
      <w:r>
        <w:rPr/>
        <w:t>szyfrowanie połączeń (HTTPS/TLS) i przechowywanie haseł wyłącznie w postaci skrótów; szyfrowanie danych w spoczynku stosowane przez dostawców infrastruktury,</w:t>
      </w:r>
    </w:p>
    <w:p>
      <w:pPr>
        <w:pStyle w:val="Compact"/>
        <w:numPr>
          <w:ilvl w:val="0"/>
          <w:numId w:val="2"/>
        </w:numPr>
        <w:spacing w:before="0" w:after="60"/>
        <w:rPr/>
      </w:pPr>
      <w:r>
        <w:rPr/>
        <w:t>kontrolę dostępu opartą na rolach: Gabinet widzi swoje Zlecenia, a Pracownia Zlecenia skierowane do niej lub rozesłane do Pracowni w jej regionie,</w:t>
      </w:r>
    </w:p>
    <w:p>
      <w:pPr>
        <w:pStyle w:val="Compact"/>
        <w:numPr>
          <w:ilvl w:val="0"/>
          <w:numId w:val="2"/>
        </w:numPr>
        <w:spacing w:before="0" w:after="60"/>
        <w:rPr/>
      </w:pPr>
      <w:r>
        <w:rPr/>
        <w:t>ograniczenie dostępu do danych po stronie Administratora i jego dostawców do zakresu niezbędnego do świadczenia usługi,</w:t>
      </w:r>
    </w:p>
    <w:p>
      <w:pPr>
        <w:pStyle w:val="Compact"/>
        <w:numPr>
          <w:ilvl w:val="0"/>
          <w:numId w:val="2"/>
        </w:numPr>
        <w:spacing w:before="0" w:after="60"/>
        <w:rPr/>
      </w:pPr>
      <w:r>
        <w:rPr/>
        <w:t>kopie zapasowe oraz monitorowanie systemów,</w:t>
      </w:r>
    </w:p>
    <w:p>
      <w:pPr>
        <w:pStyle w:val="Compact"/>
        <w:numPr>
          <w:ilvl w:val="0"/>
          <w:numId w:val="2"/>
        </w:numPr>
        <w:spacing w:before="0" w:after="60"/>
        <w:rPr/>
      </w:pPr>
      <w:r>
        <w:rPr/>
        <w:t>procedurę reagowania na incydenty: naruszenie ochrony danych, którego jesteśmy administratorem, zgłaszamy Prezesowi UODO bez zbędnej zwłoki, w miarę możliwości w ciągu 72 godzin od jego stwierdzenia, o ile może skutkować ryzykiem dla praw lub wolności osób, a gdy ryzyko jest wysokie, zawiadamiamy także osoby, których dane dotyczą (art. 33 i 34 RODO).</w:t>
      </w:r>
    </w:p>
    <w:p>
      <w:pPr>
        <w:pStyle w:val="FirstParagraph"/>
        <w:rPr/>
      </w:pPr>
      <w:r>
        <w:rPr/>
        <w:t>Żadna transmisja przez internet nie jest w pełni bezpieczna. Dbaj o silne, unikalne hasło i nie udostępniaj go osobom nieuprawnionym.</w:t>
      </w:r>
    </w:p>
    <w:p>
      <w:pPr>
        <w:pStyle w:val="Heading1"/>
        <w:ind w:hanging="0" w:left="0"/>
        <w:rPr/>
      </w:pPr>
      <w:bookmarkStart w:id="19" w:name="bezpieczeństwo-danych"/>
      <w:bookmarkStart w:id="20" w:name="Xcfe52ef90872986b13cc6593481ddc36c1bed24"/>
      <w:bookmarkEnd w:id="19"/>
      <w:r>
        <w:rPr/>
        <w:t>11. Dzieci, zmiany Polityki, kontakt i organ nadzorczy</w:t>
      </w:r>
    </w:p>
    <w:p>
      <w:pPr>
        <w:pStyle w:val="Compact"/>
        <w:numPr>
          <w:ilvl w:val="0"/>
          <w:numId w:val="13"/>
        </w:numPr>
        <w:spacing w:before="0" w:after="60"/>
        <w:rPr/>
      </w:pPr>
      <w:r>
        <w:rPr>
          <w:b/>
          <w:bCs/>
        </w:rPr>
        <w:t>Dzieci.</w:t>
      </w:r>
      <w:r>
        <w:rPr/>
        <w:t xml:space="preserve"> Serwis jest przeznaczony dla podmiotów prowadzących działalność i nie jest skierowany do osób poniżej 18 roku życia. Świadomie nie zbieramy danych osób niepełnoletnich jako Użytkowników.</w:t>
      </w:r>
    </w:p>
    <w:p>
      <w:pPr>
        <w:pStyle w:val="Compact"/>
        <w:numPr>
          <w:ilvl w:val="0"/>
          <w:numId w:val="3"/>
        </w:numPr>
        <w:spacing w:before="0" w:after="60"/>
        <w:rPr/>
      </w:pPr>
      <w:r>
        <w:rPr>
          <w:b/>
          <w:bCs/>
        </w:rPr>
        <w:t>Zmiany Polityki.</w:t>
      </w:r>
      <w:r>
        <w:rPr/>
        <w:t xml:space="preserve"> Możemy ją aktualizować, np. przy zmianie funkcji Serwisu lub przepisów. Aktualna wersja jest dostępna w Serwisie z datą obowiązywania. O istotnych zmianach poinformujemy Użytkowników e-mailem lub w Serwisie z odpowiednim wyprzedzeniem, co najmniej 14 dni.</w:t>
      </w:r>
    </w:p>
    <w:p>
      <w:pPr>
        <w:pStyle w:val="Compact"/>
        <w:numPr>
          <w:ilvl w:val="0"/>
          <w:numId w:val="3"/>
        </w:numPr>
        <w:spacing w:before="0" w:after="60"/>
        <w:rPr/>
      </w:pPr>
      <w:r>
        <w:rPr>
          <w:b/>
          <w:bCs/>
        </w:rPr>
        <w:t>Kontakt:</w:t>
      </w:r>
      <w:r>
        <w:rPr/>
        <w:t xml:space="preserve"> kontakt@labbi.pl; adres korespondencyjny: KK PRO Kamil Kamiński, ul. Sendlerowej 51, 48-300 Nysa.</w:t>
      </w:r>
    </w:p>
    <w:p>
      <w:pPr>
        <w:pStyle w:val="Compact"/>
        <w:numPr>
          <w:ilvl w:val="0"/>
          <w:numId w:val="3"/>
        </w:numPr>
        <w:spacing w:before="0" w:after="60"/>
        <w:rPr/>
      </w:pPr>
      <w:r>
        <w:rPr>
          <w:b/>
          <w:bCs/>
        </w:rPr>
        <w:t>Organ nadzorczy.</w:t>
      </w:r>
      <w:r>
        <w:rPr/>
        <w:t xml:space="preserve"> Masz prawo złożyć skargę do Prezesa Urzędu Ochrony Danych Osobowych, ul. Stanisława Moniuszki 1A, 00-014 Warszawa. Będziemy wdzięczni, jeśli najpierw dasz nam szansę rozwiązać problem.</w:t>
      </w:r>
    </w:p>
    <w:p>
      <w:pPr>
        <w:pStyle w:val="FirstParagraph"/>
        <w:spacing w:before="0" w:after="80"/>
        <w:rPr/>
      </w:pPr>
      <w:bookmarkStart w:id="21" w:name="Xcfe52ef90872986b13cc6593481ddc36c1bed24"/>
      <w:r>
        <w:rPr/>
        <w:t>Polityka obowiązuje od dnia 20 lutego 2026 r.</w:t>
      </w:r>
      <w:bookmarkEnd w:id="21"/>
    </w:p>
    <w:sectPr>
      <w:footerReference w:type="default" r:id="rId2"/>
      <w:type w:val="nextPage"/>
      <w:pgSz w:w="11906" w:h="16838"/>
      <w:pgMar w:left="1417" w:right="1417" w:gutter="0" w:header="0" w:top="1304" w:footer="708" w:bottom="130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ee"/>
    <w:family w:val="swiss"/>
    <w:pitch w:val="variable"/>
  </w:font>
  <w:font w:name="Consolas">
    <w:charset w:val="ee"/>
    <w:family w:val="modern"/>
    <w:pitch w:val="default"/>
  </w:font>
  <w:font w:name="Segoe UI">
    <w:charset w:val="ee"/>
    <w:family w:val="swiss"/>
    <w:pitch w:val="variable"/>
  </w:font>
  <w:font w:name="Cambria">
    <w:charset w:val="ee"/>
    <w:family w:val="roman"/>
    <w:pitch w:val="variable"/>
  </w:font>
  <w:font w:name="Times New Roman">
    <w:charset w:val="ee"/>
    <w:family w:val="roman"/>
    <w:pitch w:val="variable"/>
  </w:font>
  <w:font w:name="Arial">
    <w:charset w:val="ee"/>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80"/>
      <w:jc w:val="center"/>
      <w:rPr>
        <w:sz w:val="18"/>
      </w:rPr>
    </w:pPr>
    <w:r>
      <w:rPr>
        <w:sz w:val="18"/>
      </w:rPr>
      <w:fldChar w:fldCharType="begin"/>
    </w:r>
    <w:r>
      <w:rPr>
        <w:sz w:val="18"/>
      </w:rPr>
      <w:instrText xml:space="preserve"> PAGE </w:instrText>
    </w:r>
    <w:r>
      <w:rPr>
        <w:sz w:val="18"/>
      </w:rPr>
      <w:fldChar w:fldCharType="separate"/>
    </w:r>
    <w:r>
      <w:rPr>
        <w:sz w:val="18"/>
      </w:rPr>
      <w:t>8</w:t>
    </w:r>
    <w:r>
      <w:rPr>
        <w:sz w:val="18"/>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
    <w:lvl w:ilvl="0">
      <w:start w:val="1"/>
      <w:numFmt w:val="decimal"/>
      <w:lvlText w:val="%1."/>
      <w:lvlJc w:val="left"/>
      <w:pPr>
        <w:tabs>
          <w:tab w:val="num" w:pos="0"/>
        </w:tabs>
        <w:ind w:left="720" w:hanging="480"/>
      </w:pPr>
    </w:lvl>
    <w:lvl w:ilvl="1">
      <w:start w:val="1"/>
      <w:numFmt w:val="decimal"/>
      <w:lvlText w:val="%2."/>
      <w:lvlJc w:val="left"/>
      <w:pPr>
        <w:tabs>
          <w:tab w:val="num" w:pos="0"/>
        </w:tabs>
        <w:ind w:left="1440" w:hanging="480"/>
      </w:pPr>
    </w:lvl>
    <w:lvl w:ilvl="2">
      <w:start w:val="1"/>
      <w:numFmt w:val="decimal"/>
      <w:lvlText w:val="%3."/>
      <w:lvlJc w:val="left"/>
      <w:pPr>
        <w:tabs>
          <w:tab w:val="num" w:pos="0"/>
        </w:tabs>
        <w:ind w:left="2160" w:hanging="480"/>
      </w:pPr>
    </w:lvl>
    <w:lvl w:ilvl="3">
      <w:start w:val="1"/>
      <w:numFmt w:val="decimal"/>
      <w:lvlText w:val="%4."/>
      <w:lvlJc w:val="left"/>
      <w:pPr>
        <w:tabs>
          <w:tab w:val="num" w:pos="0"/>
        </w:tabs>
        <w:ind w:left="2880" w:hanging="480"/>
      </w:pPr>
    </w:lvl>
    <w:lvl w:ilvl="4">
      <w:start w:val="1"/>
      <w:numFmt w:val="decimal"/>
      <w:lvlText w:val="%5."/>
      <w:lvlJc w:val="left"/>
      <w:pPr>
        <w:tabs>
          <w:tab w:val="num" w:pos="0"/>
        </w:tabs>
        <w:ind w:left="3600" w:hanging="480"/>
      </w:pPr>
    </w:lvl>
    <w:lvl w:ilvl="5">
      <w:start w:val="1"/>
      <w:numFmt w:val="decimal"/>
      <w:lvlText w:val="%6."/>
      <w:lvlJc w:val="left"/>
      <w:pPr>
        <w:tabs>
          <w:tab w:val="num" w:pos="0"/>
        </w:tabs>
        <w:ind w:left="4320" w:hanging="480"/>
      </w:pPr>
    </w:lvl>
    <w:lvl w:ilvl="6">
      <w:start w:val="1"/>
      <w:numFmt w:val="decimal"/>
      <w:lvlText w:val="%7."/>
      <w:lvlJc w:val="left"/>
      <w:pPr>
        <w:tabs>
          <w:tab w:val="num" w:pos="0"/>
        </w:tabs>
        <w:ind w:left="5040" w:hanging="480"/>
      </w:pPr>
    </w:lvl>
    <w:lvl w:ilvl="7">
      <w:start w:val="1"/>
      <w:numFmt w:val="decimal"/>
      <w:lvlText w:val="%8."/>
      <w:lvlJc w:val="left"/>
      <w:pPr>
        <w:tabs>
          <w:tab w:val="num" w:pos="0"/>
        </w:tabs>
        <w:ind w:left="5760" w:hanging="480"/>
      </w:pPr>
    </w:lvl>
    <w:lvl w:ilvl="8">
      <w:start w:val="1"/>
      <w:numFmt w:val="decimal"/>
      <w:lvlText w:val="%9."/>
      <w:lvlJc w:val="left"/>
      <w:pPr>
        <w:tabs>
          <w:tab w:val="num" w:pos="0"/>
        </w:tabs>
        <w:ind w:left="6480" w:hanging="480"/>
      </w:p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bering>
</file>

<file path=word/settings.xml><?xml version="1.0" encoding="utf-8"?>
<w:settings xmlns:w="http://schemas.openxmlformats.org/wordprocessingml/2006/main">
  <w:zoom w:percent="100"/>
  <w:trackRevisions/>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69" w:before="0" w:after="80"/>
    </w:pPr>
    <w:rPr>
      <w:rFonts w:ascii="Calibri" w:hAnsi="Calibri" w:eastAsia="Calibri" w:cs="Calibri"/>
      <w:color w:val="000000"/>
      <w:sz w:val="21"/>
      <w:szCs w:val="24"/>
      <w:lang w:val="pl-PL" w:bidi="ar-SA" w:eastAsia="zh-CN"/>
    </w:rPr>
  </w:style>
  <w:style w:type="paragraph" w:styleId="Heading1">
    <w:name w:val="heading 1"/>
    <w:basedOn w:val="Normal"/>
    <w:next w:val="BodyText"/>
    <w:qFormat/>
    <w:pPr>
      <w:keepNext w:val="true"/>
      <w:keepLines/>
      <w:numPr>
        <w:ilvl w:val="0"/>
        <w:numId w:val="1"/>
      </w:numPr>
      <w:spacing w:before="320" w:after="120"/>
      <w:outlineLvl w:val="0"/>
    </w:pPr>
    <w:rPr>
      <w:rFonts w:ascii="Calibri" w:hAnsi="Calibri" w:eastAsia="Calibri" w:cs="Calibri"/>
      <w:b/>
      <w:bCs/>
      <w:color w:val="000000"/>
      <w:sz w:val="27"/>
      <w:szCs w:val="32"/>
    </w:rPr>
  </w:style>
  <w:style w:type="paragraph" w:styleId="Heading2">
    <w:name w:val="heading 2"/>
    <w:basedOn w:val="Normal"/>
    <w:next w:val="BodyText"/>
    <w:qFormat/>
    <w:pPr>
      <w:keepNext w:val="true"/>
      <w:keepLines/>
      <w:numPr>
        <w:ilvl w:val="1"/>
        <w:numId w:val="1"/>
      </w:numPr>
      <w:spacing w:before="200" w:after="0"/>
      <w:outlineLvl w:val="1"/>
    </w:pPr>
    <w:rPr>
      <w:rFonts w:ascii="Calibri" w:hAnsi="Calibri" w:eastAsia="Times New Roman" w:cs="Times New Roman"/>
      <w:b/>
      <w:bCs/>
      <w:color w:val="4F81BD"/>
      <w:sz w:val="28"/>
      <w:szCs w:val="28"/>
    </w:rPr>
  </w:style>
  <w:style w:type="paragraph" w:styleId="Heading3">
    <w:name w:val="heading 3"/>
    <w:basedOn w:val="Normal"/>
    <w:next w:val="BodyText"/>
    <w:qFormat/>
    <w:pPr>
      <w:keepNext w:val="true"/>
      <w:keepLines/>
      <w:numPr>
        <w:ilvl w:val="2"/>
        <w:numId w:val="1"/>
      </w:numPr>
      <w:spacing w:before="200" w:after="0"/>
      <w:outlineLvl w:val="2"/>
    </w:pPr>
    <w:rPr>
      <w:rFonts w:ascii="Calibri" w:hAnsi="Calibri" w:eastAsia="Times New Roman" w:cs="Times New Roman"/>
      <w:b/>
      <w:bCs/>
      <w:color w:val="4F81BD"/>
      <w:sz w:val="24"/>
      <w:szCs w:val="24"/>
    </w:rPr>
  </w:style>
  <w:style w:type="paragraph" w:styleId="Heading4">
    <w:name w:val="heading 4"/>
    <w:basedOn w:val="Normal"/>
    <w:next w:val="BodyText"/>
    <w:qFormat/>
    <w:pPr>
      <w:keepNext w:val="true"/>
      <w:keepLines/>
      <w:numPr>
        <w:ilvl w:val="3"/>
        <w:numId w:val="1"/>
      </w:numPr>
      <w:spacing w:before="200" w:after="0"/>
      <w:outlineLvl w:val="3"/>
    </w:pPr>
    <w:rPr>
      <w:rFonts w:ascii="Calibri" w:hAnsi="Calibri" w:eastAsia="Times New Roman" w:cs="Times New Roman"/>
      <w:bCs/>
      <w:i/>
      <w:color w:val="4F81BD"/>
      <w:sz w:val="24"/>
      <w:szCs w:val="24"/>
    </w:rPr>
  </w:style>
  <w:style w:type="paragraph" w:styleId="Heading5">
    <w:name w:val="heading 5"/>
    <w:basedOn w:val="Normal"/>
    <w:next w:val="BodyText"/>
    <w:qFormat/>
    <w:pPr>
      <w:keepNext w:val="true"/>
      <w:keepLines/>
      <w:numPr>
        <w:ilvl w:val="4"/>
        <w:numId w:val="1"/>
      </w:numPr>
      <w:spacing w:before="200" w:after="0"/>
      <w:outlineLvl w:val="4"/>
    </w:pPr>
    <w:rPr>
      <w:rFonts w:ascii="Calibri" w:hAnsi="Calibri" w:eastAsia="Times New Roman" w:cs="Times New Roman"/>
      <w:iCs/>
      <w:color w:val="4F81BD"/>
      <w:sz w:val="24"/>
      <w:szCs w:val="24"/>
    </w:rPr>
  </w:style>
  <w:style w:type="paragraph" w:styleId="Heading6">
    <w:name w:val="heading 6"/>
    <w:basedOn w:val="Normal"/>
    <w:next w:val="BodyText"/>
    <w:qFormat/>
    <w:pPr>
      <w:keepNext w:val="true"/>
      <w:keepLines/>
      <w:numPr>
        <w:ilvl w:val="5"/>
        <w:numId w:val="1"/>
      </w:numPr>
      <w:spacing w:before="200" w:after="0"/>
      <w:outlineLvl w:val="5"/>
    </w:pPr>
    <w:rPr>
      <w:rFonts w:ascii="Calibri" w:hAnsi="Calibri" w:eastAsia="Times New Roman" w:cs="Times New Roman"/>
      <w:color w:val="4F81BD"/>
      <w:sz w:val="24"/>
      <w:szCs w:val="24"/>
    </w:rPr>
  </w:style>
  <w:style w:type="paragraph" w:styleId="Heading7">
    <w:name w:val="heading 7"/>
    <w:basedOn w:val="Normal"/>
    <w:next w:val="BodyText"/>
    <w:qFormat/>
    <w:pPr>
      <w:keepNext w:val="true"/>
      <w:keepLines/>
      <w:numPr>
        <w:ilvl w:val="6"/>
        <w:numId w:val="1"/>
      </w:numPr>
      <w:spacing w:before="200" w:after="0"/>
      <w:outlineLvl w:val="6"/>
    </w:pPr>
    <w:rPr>
      <w:rFonts w:ascii="Calibri" w:hAnsi="Calibri" w:eastAsia="Times New Roman" w:cs="Times New Roman"/>
      <w:color w:val="4F81BD"/>
      <w:sz w:val="24"/>
      <w:szCs w:val="24"/>
    </w:rPr>
  </w:style>
  <w:style w:type="paragraph" w:styleId="Heading8">
    <w:name w:val="heading 8"/>
    <w:basedOn w:val="Normal"/>
    <w:next w:val="BodyText"/>
    <w:qFormat/>
    <w:pPr>
      <w:keepNext w:val="true"/>
      <w:keepLines/>
      <w:numPr>
        <w:ilvl w:val="7"/>
        <w:numId w:val="1"/>
      </w:numPr>
      <w:spacing w:before="200" w:after="0"/>
      <w:outlineLvl w:val="7"/>
    </w:pPr>
    <w:rPr>
      <w:rFonts w:ascii="Calibri" w:hAnsi="Calibri" w:eastAsia="Times New Roman" w:cs="Times New Roman"/>
      <w:color w:val="4F81BD"/>
      <w:sz w:val="24"/>
      <w:szCs w:val="24"/>
    </w:rPr>
  </w:style>
  <w:style w:type="paragraph" w:styleId="Heading9">
    <w:name w:val="heading 9"/>
    <w:basedOn w:val="Normal"/>
    <w:next w:val="BodyText"/>
    <w:qFormat/>
    <w:pPr>
      <w:keepNext w:val="true"/>
      <w:keepLines/>
      <w:numPr>
        <w:ilvl w:val="8"/>
        <w:numId w:val="1"/>
      </w:numPr>
      <w:spacing w:before="200" w:after="0"/>
      <w:outlineLvl w:val="8"/>
    </w:pPr>
    <w:rPr>
      <w:rFonts w:ascii="Calibri" w:hAnsi="Calibri" w:eastAsia="Times New Roman" w:cs="Times New Roman"/>
      <w:color w:val="4F81BD"/>
      <w:sz w:val="24"/>
      <w:szCs w:val="24"/>
    </w:rPr>
  </w:style>
  <w:style w:type="character" w:styleId="WW8Num4z0">
    <w:name w:val="WW8Num4z0"/>
    <w:qFormat/>
    <w:rPr>
      <w:rFonts w:ascii="Symbol" w:hAnsi="Symbol" w:cs="Symbol"/>
      <w:sz w:val="20"/>
    </w:rPr>
  </w:style>
  <w:style w:type="character" w:styleId="Domylnaczcionkaakapitu">
    <w:name w:val="Domyślna czcionka akapitu"/>
    <w:qFormat/>
    <w:rPr/>
  </w:style>
  <w:style w:type="character" w:styleId="LegendaZnak">
    <w:name w:val="Legenda Znak"/>
    <w:basedOn w:val="Domylnaczcionkaakapitu"/>
    <w:qFormat/>
    <w:rPr/>
  </w:style>
  <w:style w:type="character" w:styleId="VerbatimChar">
    <w:name w:val="Verbatim Char"/>
    <w:qFormat/>
    <w:rPr>
      <w:rFonts w:ascii="Consolas" w:hAnsi="Consolas" w:cs="Consolas"/>
      <w:sz w:val="22"/>
    </w:rPr>
  </w:style>
  <w:style w:type="character" w:styleId="SectionNumber">
    <w:name w:val="Section Number"/>
    <w:basedOn w:val="LegendaZnak"/>
    <w:qFormat/>
    <w:rPr/>
  </w:style>
  <w:style w:type="character" w:styleId="FootnoteCharacters">
    <w:name w:val="Footnote Characters"/>
    <w:qFormat/>
    <w:rPr>
      <w:vertAlign w:val="superscript"/>
    </w:rPr>
  </w:style>
  <w:style w:type="character" w:styleId="Hyperlink">
    <w:name w:val="Hyperlink"/>
    <w:rPr>
      <w:color w:val="4F81BD"/>
    </w:rPr>
  </w:style>
  <w:style w:type="character" w:styleId="KeywordTok">
    <w:name w:val="KeywordTok"/>
    <w:qFormat/>
    <w:rPr>
      <w:rFonts w:ascii="Consolas" w:hAnsi="Consolas" w:cs="Consolas"/>
      <w:b/>
      <w:color w:val="007020"/>
      <w:sz w:val="22"/>
    </w:rPr>
  </w:style>
  <w:style w:type="character" w:styleId="DataTypeTok">
    <w:name w:val="DataTypeTok"/>
    <w:qFormat/>
    <w:rPr>
      <w:rFonts w:ascii="Consolas" w:hAnsi="Consolas" w:cs="Consolas"/>
      <w:color w:val="902000"/>
      <w:sz w:val="22"/>
    </w:rPr>
  </w:style>
  <w:style w:type="character" w:styleId="DecValTok">
    <w:name w:val="DecValTok"/>
    <w:qFormat/>
    <w:rPr>
      <w:rFonts w:ascii="Consolas" w:hAnsi="Consolas" w:cs="Consolas"/>
      <w:color w:val="40A070"/>
      <w:sz w:val="22"/>
    </w:rPr>
  </w:style>
  <w:style w:type="character" w:styleId="BaseNTok">
    <w:name w:val="BaseNTok"/>
    <w:qFormat/>
    <w:rPr>
      <w:rFonts w:ascii="Consolas" w:hAnsi="Consolas" w:cs="Consolas"/>
      <w:color w:val="40A070"/>
      <w:sz w:val="22"/>
    </w:rPr>
  </w:style>
  <w:style w:type="character" w:styleId="FloatTok">
    <w:name w:val="FloatTok"/>
    <w:qFormat/>
    <w:rPr>
      <w:rFonts w:ascii="Consolas" w:hAnsi="Consolas" w:cs="Consolas"/>
      <w:color w:val="40A070"/>
      <w:sz w:val="22"/>
    </w:rPr>
  </w:style>
  <w:style w:type="character" w:styleId="ConstantTok">
    <w:name w:val="ConstantTok"/>
    <w:qFormat/>
    <w:rPr>
      <w:rFonts w:ascii="Consolas" w:hAnsi="Consolas" w:cs="Consolas"/>
      <w:color w:val="880000"/>
      <w:sz w:val="22"/>
    </w:rPr>
  </w:style>
  <w:style w:type="character" w:styleId="CharTok">
    <w:name w:val="CharTok"/>
    <w:qFormat/>
    <w:rPr>
      <w:rFonts w:ascii="Consolas" w:hAnsi="Consolas" w:cs="Consolas"/>
      <w:color w:val="4070A0"/>
      <w:sz w:val="22"/>
    </w:rPr>
  </w:style>
  <w:style w:type="character" w:styleId="SpecialCharTok">
    <w:name w:val="SpecialCharTok"/>
    <w:qFormat/>
    <w:rPr>
      <w:rFonts w:ascii="Consolas" w:hAnsi="Consolas" w:cs="Consolas"/>
      <w:color w:val="4070A0"/>
      <w:sz w:val="22"/>
    </w:rPr>
  </w:style>
  <w:style w:type="character" w:styleId="StringTok">
    <w:name w:val="StringTok"/>
    <w:qFormat/>
    <w:rPr>
      <w:rFonts w:ascii="Consolas" w:hAnsi="Consolas" w:cs="Consolas"/>
      <w:color w:val="4070A0"/>
      <w:sz w:val="22"/>
    </w:rPr>
  </w:style>
  <w:style w:type="character" w:styleId="VerbatimStringTok">
    <w:name w:val="VerbatimStringTok"/>
    <w:qFormat/>
    <w:rPr>
      <w:rFonts w:ascii="Consolas" w:hAnsi="Consolas" w:cs="Consolas"/>
      <w:color w:val="4070A0"/>
      <w:sz w:val="22"/>
    </w:rPr>
  </w:style>
  <w:style w:type="character" w:styleId="SpecialStringTok">
    <w:name w:val="SpecialStringTok"/>
    <w:qFormat/>
    <w:rPr>
      <w:rFonts w:ascii="Consolas" w:hAnsi="Consolas" w:cs="Consolas"/>
      <w:color w:val="BB6688"/>
      <w:sz w:val="22"/>
    </w:rPr>
  </w:style>
  <w:style w:type="character" w:styleId="ImportTok">
    <w:name w:val="ImportTok"/>
    <w:qFormat/>
    <w:rPr>
      <w:rFonts w:ascii="Consolas" w:hAnsi="Consolas" w:cs="Consolas"/>
      <w:b/>
      <w:color w:val="008000"/>
      <w:sz w:val="22"/>
    </w:rPr>
  </w:style>
  <w:style w:type="character" w:styleId="CommentTok">
    <w:name w:val="CommentTok"/>
    <w:qFormat/>
    <w:rPr>
      <w:rFonts w:ascii="Consolas" w:hAnsi="Consolas" w:cs="Consolas"/>
      <w:i/>
      <w:color w:val="60A0B0"/>
      <w:sz w:val="22"/>
    </w:rPr>
  </w:style>
  <w:style w:type="character" w:styleId="DocumentationTok">
    <w:name w:val="DocumentationTok"/>
    <w:qFormat/>
    <w:rPr>
      <w:rFonts w:ascii="Consolas" w:hAnsi="Consolas" w:cs="Consolas"/>
      <w:i/>
      <w:color w:val="BA2121"/>
      <w:sz w:val="22"/>
    </w:rPr>
  </w:style>
  <w:style w:type="character" w:styleId="AnnotationTok">
    <w:name w:val="AnnotationTok"/>
    <w:qFormat/>
    <w:rPr>
      <w:rFonts w:ascii="Consolas" w:hAnsi="Consolas" w:cs="Consolas"/>
      <w:b/>
      <w:i/>
      <w:color w:val="60A0B0"/>
      <w:sz w:val="22"/>
    </w:rPr>
  </w:style>
  <w:style w:type="character" w:styleId="CommentVarTok">
    <w:name w:val="CommentVarTok"/>
    <w:qFormat/>
    <w:rPr>
      <w:rFonts w:ascii="Consolas" w:hAnsi="Consolas" w:cs="Consolas"/>
      <w:b/>
      <w:i/>
      <w:color w:val="60A0B0"/>
      <w:sz w:val="22"/>
    </w:rPr>
  </w:style>
  <w:style w:type="character" w:styleId="OtherTok">
    <w:name w:val="OtherTok"/>
    <w:qFormat/>
    <w:rPr>
      <w:rFonts w:ascii="Consolas" w:hAnsi="Consolas" w:cs="Consolas"/>
      <w:color w:val="007020"/>
      <w:sz w:val="22"/>
    </w:rPr>
  </w:style>
  <w:style w:type="character" w:styleId="FunctionTok">
    <w:name w:val="FunctionTok"/>
    <w:qFormat/>
    <w:rPr>
      <w:rFonts w:ascii="Consolas" w:hAnsi="Consolas" w:cs="Consolas"/>
      <w:color w:val="06287E"/>
      <w:sz w:val="22"/>
    </w:rPr>
  </w:style>
  <w:style w:type="character" w:styleId="VariableTok">
    <w:name w:val="VariableTok"/>
    <w:qFormat/>
    <w:rPr>
      <w:rFonts w:ascii="Consolas" w:hAnsi="Consolas" w:cs="Consolas"/>
      <w:color w:val="19177C"/>
      <w:sz w:val="22"/>
    </w:rPr>
  </w:style>
  <w:style w:type="character" w:styleId="ControlFlowTok">
    <w:name w:val="ControlFlowTok"/>
    <w:qFormat/>
    <w:rPr>
      <w:rFonts w:ascii="Consolas" w:hAnsi="Consolas" w:cs="Consolas"/>
      <w:b/>
      <w:color w:val="007020"/>
      <w:sz w:val="22"/>
    </w:rPr>
  </w:style>
  <w:style w:type="character" w:styleId="OperatorTok">
    <w:name w:val="OperatorTok"/>
    <w:qFormat/>
    <w:rPr>
      <w:rFonts w:ascii="Consolas" w:hAnsi="Consolas" w:cs="Consolas"/>
      <w:color w:val="666666"/>
      <w:sz w:val="22"/>
    </w:rPr>
  </w:style>
  <w:style w:type="character" w:styleId="BuiltInTok">
    <w:name w:val="BuiltInTok"/>
    <w:qFormat/>
    <w:rPr>
      <w:rFonts w:ascii="Consolas" w:hAnsi="Consolas" w:cs="Consolas"/>
      <w:color w:val="008000"/>
      <w:sz w:val="22"/>
    </w:rPr>
  </w:style>
  <w:style w:type="character" w:styleId="ExtensionTok">
    <w:name w:val="ExtensionTok"/>
    <w:basedOn w:val="VerbatimChar"/>
    <w:qFormat/>
    <w:rPr/>
  </w:style>
  <w:style w:type="character" w:styleId="PreprocessorTok">
    <w:name w:val="PreprocessorTok"/>
    <w:qFormat/>
    <w:rPr>
      <w:rFonts w:ascii="Consolas" w:hAnsi="Consolas" w:cs="Consolas"/>
      <w:color w:val="BC7A00"/>
      <w:sz w:val="22"/>
    </w:rPr>
  </w:style>
  <w:style w:type="character" w:styleId="AttributeTok">
    <w:name w:val="AttributeTok"/>
    <w:qFormat/>
    <w:rPr>
      <w:rFonts w:ascii="Consolas" w:hAnsi="Consolas" w:cs="Consolas"/>
      <w:color w:val="7D9029"/>
      <w:sz w:val="22"/>
    </w:rPr>
  </w:style>
  <w:style w:type="character" w:styleId="RegionMarkerTok">
    <w:name w:val="RegionMarkerTok"/>
    <w:basedOn w:val="VerbatimChar"/>
    <w:qFormat/>
    <w:rPr/>
  </w:style>
  <w:style w:type="character" w:styleId="InformationTok">
    <w:name w:val="InformationTok"/>
    <w:qFormat/>
    <w:rPr>
      <w:rFonts w:ascii="Consolas" w:hAnsi="Consolas" w:cs="Consolas"/>
      <w:b/>
      <w:i/>
      <w:color w:val="60A0B0"/>
      <w:sz w:val="22"/>
    </w:rPr>
  </w:style>
  <w:style w:type="character" w:styleId="WarningTok">
    <w:name w:val="WarningTok"/>
    <w:qFormat/>
    <w:rPr>
      <w:rFonts w:ascii="Consolas" w:hAnsi="Consolas" w:cs="Consolas"/>
      <w:b/>
      <w:i/>
      <w:color w:val="60A0B0"/>
      <w:sz w:val="22"/>
    </w:rPr>
  </w:style>
  <w:style w:type="character" w:styleId="AlertTok">
    <w:name w:val="AlertTok"/>
    <w:qFormat/>
    <w:rPr>
      <w:rFonts w:ascii="Consolas" w:hAnsi="Consolas" w:cs="Consolas"/>
      <w:b/>
      <w:color w:val="FF0000"/>
      <w:sz w:val="22"/>
    </w:rPr>
  </w:style>
  <w:style w:type="character" w:styleId="ErrorTok">
    <w:name w:val="ErrorTok"/>
    <w:qFormat/>
    <w:rPr>
      <w:rFonts w:ascii="Consolas" w:hAnsi="Consolas" w:cs="Consolas"/>
      <w:b/>
      <w:color w:val="FF0000"/>
      <w:sz w:val="22"/>
    </w:rPr>
  </w:style>
  <w:style w:type="character" w:styleId="NormalTok">
    <w:name w:val="NormalTok"/>
    <w:basedOn w:val="VerbatimChar"/>
    <w:qFormat/>
    <w:rPr/>
  </w:style>
  <w:style w:type="character" w:styleId="Odwoaniedokomentarza">
    <w:name w:val="Odwołanie do komentarza"/>
    <w:qFormat/>
    <w:rPr>
      <w:sz w:val="16"/>
      <w:szCs w:val="16"/>
    </w:rPr>
  </w:style>
  <w:style w:type="character" w:styleId="TekstkomentarzaZnak">
    <w:name w:val="Tekst komentarza Znak"/>
    <w:qFormat/>
    <w:rPr>
      <w:rFonts w:ascii="Calibri" w:hAnsi="Calibri" w:eastAsia="Calibri" w:cs="Calibri"/>
      <w:color w:val="000000"/>
      <w:sz w:val="20"/>
      <w:szCs w:val="20"/>
    </w:rPr>
  </w:style>
  <w:style w:type="character" w:styleId="TematkomentarzaZnak">
    <w:name w:val="Temat komentarza Znak"/>
    <w:qFormat/>
    <w:rPr>
      <w:rFonts w:ascii="Calibri" w:hAnsi="Calibri" w:eastAsia="Calibri" w:cs="Calibri"/>
      <w:b/>
      <w:bCs/>
      <w:color w:val="000000"/>
      <w:sz w:val="20"/>
      <w:szCs w:val="20"/>
    </w:rPr>
  </w:style>
  <w:style w:type="character" w:styleId="TekstdymkaZnak">
    <w:name w:val="Tekst dymka Znak"/>
    <w:qFormat/>
    <w:rPr>
      <w:rFonts w:ascii="Segoe UI" w:hAnsi="Segoe UI" w:eastAsia="Calibri" w:cs="Segoe UI"/>
      <w:color w:val="000000"/>
      <w:sz w:val="18"/>
      <w:szCs w:val="18"/>
    </w:rPr>
  </w:style>
  <w:style w:type="character" w:styleId="Strong">
    <w:name w:val="Strong"/>
    <w:qFormat/>
    <w:rPr>
      <w:b/>
      <w:bCs/>
    </w:rPr>
  </w:style>
  <w:style w:type="paragraph" w:styleId="Heading">
    <w:name w:val="Heading"/>
    <w:basedOn w:val="Normal"/>
    <w:next w:val="BodyText"/>
    <w:qFormat/>
    <w:pPr>
      <w:keepNext w:val="true"/>
      <w:keepLines/>
      <w:spacing w:before="480" w:after="80"/>
      <w:jc w:val="left"/>
    </w:pPr>
    <w:rPr>
      <w:rFonts w:ascii="Calibri" w:hAnsi="Calibri" w:eastAsia="Calibri" w:cs="Calibri"/>
      <w:b/>
      <w:bCs/>
      <w:color w:val="000000"/>
      <w:sz w:val="44"/>
      <w:szCs w:val="36"/>
    </w:rPr>
  </w:style>
  <w:style w:type="paragraph" w:styleId="BodyText">
    <w:name w:val="Body Text"/>
    <w:basedOn w:val="Normal"/>
    <w:pPr>
      <w:spacing w:lineRule="auto" w:line="269" w:before="0" w:after="80"/>
      <w:jc w:val="both"/>
    </w:pPr>
    <w:rPr>
      <w:rFonts w:ascii="Calibri" w:hAnsi="Calibri" w:eastAsia="Calibri" w:cs="Calibri"/>
      <w:color w:val="000000"/>
      <w:sz w:val="21"/>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FirstParagraph">
    <w:name w:val="First Paragraph"/>
    <w:basedOn w:val="BodyText"/>
    <w:next w:val="BodyText"/>
    <w:qFormat/>
    <w:pPr>
      <w:spacing w:lineRule="auto" w:line="269" w:before="0" w:after="80"/>
      <w:jc w:val="both"/>
    </w:pPr>
    <w:rPr>
      <w:rFonts w:ascii="Calibri" w:hAnsi="Calibri" w:eastAsia="Calibri" w:cs="Calibri"/>
      <w:color w:val="000000"/>
      <w:sz w:val="21"/>
    </w:rPr>
  </w:style>
  <w:style w:type="paragraph" w:styleId="Compact">
    <w:name w:val="Compact"/>
    <w:basedOn w:val="BodyText"/>
    <w:qFormat/>
    <w:pPr>
      <w:spacing w:lineRule="auto" w:line="269" w:before="0" w:after="80"/>
    </w:pPr>
    <w:rPr>
      <w:rFonts w:ascii="Calibri" w:hAnsi="Calibri" w:eastAsia="Calibri" w:cs="Calibri"/>
      <w:color w:val="000000"/>
      <w:sz w:val="21"/>
    </w:rPr>
  </w:style>
  <w:style w:type="paragraph" w:styleId="Subtitle">
    <w:name w:val="Subtitle"/>
    <w:basedOn w:val="Heading"/>
    <w:next w:val="BodyText"/>
    <w:qFormat/>
    <w:pPr>
      <w:keepNext w:val="true"/>
      <w:keepLines/>
      <w:spacing w:before="240" w:after="280"/>
      <w:jc w:val="left"/>
    </w:pPr>
    <w:rPr>
      <w:rFonts w:ascii="Calibri" w:hAnsi="Calibri" w:eastAsia="Calibri" w:cs="Calibri"/>
      <w:b w:val="false"/>
      <w:i/>
      <w:color w:val="555555"/>
      <w:sz w:val="22"/>
      <w:szCs w:val="30"/>
    </w:rPr>
  </w:style>
  <w:style w:type="paragraph" w:styleId="Author">
    <w:name w:val="Author"/>
    <w:next w:val="BodyText"/>
    <w:qFormat/>
    <w:pPr>
      <w:keepNext w:val="true"/>
      <w:keepLines/>
      <w:widowControl/>
      <w:bidi w:val="0"/>
      <w:spacing w:before="0" w:after="200"/>
      <w:jc w:val="center"/>
    </w:pPr>
    <w:rPr>
      <w:rFonts w:ascii="Cambria" w:hAnsi="Cambria" w:eastAsia="Cambria" w:cs="Times New Roman"/>
      <w:color w:val="auto"/>
      <w:sz w:val="24"/>
      <w:szCs w:val="24"/>
      <w:lang w:val="pl-PL" w:bidi="ar-SA" w:eastAsia="zh-CN"/>
    </w:rPr>
  </w:style>
  <w:style w:type="paragraph" w:styleId="Data">
    <w:name w:val="Data"/>
    <w:next w:val="BodyText"/>
    <w:qFormat/>
    <w:pPr>
      <w:keepNext w:val="true"/>
      <w:keepLines/>
      <w:widowControl/>
      <w:bidi w:val="0"/>
      <w:spacing w:before="0" w:after="200"/>
      <w:jc w:val="center"/>
    </w:pPr>
    <w:rPr>
      <w:rFonts w:ascii="Cambria" w:hAnsi="Cambria" w:eastAsia="Cambria" w:cs="Times New Roman"/>
      <w:color w:val="auto"/>
      <w:sz w:val="24"/>
      <w:szCs w:val="24"/>
      <w:lang w:val="pl-PL" w:bidi="ar-SA" w:eastAsia="zh-CN"/>
    </w:rPr>
  </w:style>
  <w:style w:type="paragraph" w:styleId="AbstractTitle">
    <w:name w:val="Abstract Title"/>
    <w:basedOn w:val="Normal"/>
    <w:next w:val="Abstract"/>
    <w:qFormat/>
    <w:pPr>
      <w:keepNext w:val="true"/>
      <w:keepLines/>
      <w:spacing w:before="300" w:after="0"/>
      <w:jc w:val="center"/>
    </w:pPr>
    <w:rPr>
      <w:b/>
      <w:color w:val="345A8A"/>
      <w:sz w:val="20"/>
      <w:szCs w:val="20"/>
    </w:rPr>
  </w:style>
  <w:style w:type="paragraph" w:styleId="Abstract">
    <w:name w:val="Abstract"/>
    <w:basedOn w:val="Normal"/>
    <w:next w:val="BodyText"/>
    <w:qFormat/>
    <w:pPr>
      <w:keepNext w:val="true"/>
      <w:keepLines/>
      <w:spacing w:before="100" w:after="300"/>
    </w:pPr>
    <w:rPr>
      <w:sz w:val="20"/>
      <w:szCs w:val="20"/>
    </w:rPr>
  </w:style>
  <w:style w:type="paragraph" w:styleId="Bibliografia">
    <w:name w:val="Bibliografia"/>
    <w:basedOn w:val="Normal"/>
    <w:qFormat/>
    <w:pPr/>
    <w:rPr/>
  </w:style>
  <w:style w:type="paragraph" w:styleId="Tekstblokowy">
    <w:name w:val="Tekst blokowy"/>
    <w:basedOn w:val="BodyText"/>
    <w:next w:val="BodyText"/>
    <w:qFormat/>
    <w:pPr>
      <w:spacing w:before="100" w:after="100"/>
      <w:ind w:hanging="0" w:left="480" w:right="480"/>
    </w:pPr>
    <w:rPr/>
  </w:style>
  <w:style w:type="paragraph" w:styleId="FootnoteText">
    <w:name w:val="footnote text"/>
    <w:basedOn w:val="Normal"/>
    <w:pPr/>
    <w:rPr/>
  </w:style>
  <w:style w:type="paragraph" w:styleId="DefinitionTerm">
    <w:name w:val="Definition Term"/>
    <w:basedOn w:val="Normal"/>
    <w:next w:val="Definition"/>
    <w:qFormat/>
    <w:pPr>
      <w:keepNext w:val="true"/>
      <w:keepLines/>
      <w:spacing w:before="0" w:after="0"/>
    </w:pPr>
    <w:rPr>
      <w:b/>
    </w:rPr>
  </w:style>
  <w:style w:type="paragraph" w:styleId="Definition">
    <w:name w:val="Definition"/>
    <w:basedOn w:val="Normal"/>
    <w:qFormat/>
    <w:pPr/>
    <w:rPr/>
  </w:style>
  <w:style w:type="paragraph" w:styleId="Legenda">
    <w:name w:val="Legenda"/>
    <w:basedOn w:val="Normal"/>
    <w:qFormat/>
    <w:pPr>
      <w:spacing w:before="0" w:after="120"/>
    </w:pPr>
    <w:rPr>
      <w:i/>
    </w:rPr>
  </w:style>
  <w:style w:type="paragraph" w:styleId="TableCaption">
    <w:name w:val="Table Caption"/>
    <w:basedOn w:val="Legenda"/>
    <w:qFormat/>
    <w:pPr>
      <w:keepNext w:val="true"/>
    </w:pPr>
    <w:rPr/>
  </w:style>
  <w:style w:type="paragraph" w:styleId="ImageCaption">
    <w:name w:val="Image Caption"/>
    <w:basedOn w:val="Legenda"/>
    <w:qFormat/>
    <w:pPr/>
    <w:rPr/>
  </w:style>
  <w:style w:type="paragraph" w:styleId="Figure">
    <w:name w:val="Figure"/>
    <w:basedOn w:val="Normal"/>
    <w:qFormat/>
    <w:pPr/>
    <w:rPr/>
  </w:style>
  <w:style w:type="paragraph" w:styleId="CaptionedFigure">
    <w:name w:val="Captioned Figure"/>
    <w:basedOn w:val="Figure"/>
    <w:qFormat/>
    <w:pPr>
      <w:keepNext w:val="true"/>
    </w:pPr>
    <w:rPr/>
  </w:style>
  <w:style w:type="paragraph" w:styleId="Nagwekspisutreci">
    <w:name w:val="Nagłówek spisu treści"/>
    <w:basedOn w:val="Heading1"/>
    <w:next w:val="BodyText"/>
    <w:qFormat/>
    <w:pPr>
      <w:numPr>
        <w:ilvl w:val="0"/>
        <w:numId w:val="0"/>
      </w:numPr>
      <w:spacing w:lineRule="auto" w:line="257" w:before="240" w:after="120"/>
      <w:outlineLvl w:val="9"/>
    </w:pPr>
    <w:rPr>
      <w:rFonts w:ascii="Calibri" w:hAnsi="Calibri" w:eastAsia="Times New Roman" w:cs="Times New Roman"/>
      <w:b w:val="false"/>
      <w:bCs w:val="false"/>
      <w:color w:val="365F91"/>
    </w:rPr>
  </w:style>
  <w:style w:type="paragraph" w:styleId="SourceCode">
    <w:name w:val="Source Code"/>
    <w:basedOn w:val="Normal"/>
    <w:qFormat/>
    <w:pPr/>
    <w:rPr/>
  </w:style>
  <w:style w:type="paragraph" w:styleId="Tekstkomentarza">
    <w:name w:val="Tekst komentarza"/>
    <w:basedOn w:val="Normal"/>
    <w:qFormat/>
    <w:pPr>
      <w:spacing w:lineRule="auto" w:line="240"/>
    </w:pPr>
    <w:rPr>
      <w:sz w:val="20"/>
      <w:szCs w:val="20"/>
    </w:rPr>
  </w:style>
  <w:style w:type="paragraph" w:styleId="Tematkomentarza">
    <w:name w:val="Temat komentarza"/>
    <w:basedOn w:val="Tekstkomentarza"/>
    <w:next w:val="Tekstkomentarza"/>
    <w:qFormat/>
    <w:pPr/>
    <w:rPr>
      <w:b/>
      <w:bCs/>
    </w:rPr>
  </w:style>
  <w:style w:type="paragraph" w:styleId="Tekstdymka">
    <w:name w:val="Tekst dymka"/>
    <w:basedOn w:val="Normal"/>
    <w:qFormat/>
    <w:pPr>
      <w:spacing w:lineRule="auto" w:line="240" w:before="0" w:after="0"/>
    </w:pPr>
    <w:rPr>
      <w:rFonts w:ascii="Segoe UI" w:hAnsi="Segoe UI" w:cs="Segoe UI"/>
      <w:sz w:val="18"/>
      <w:szCs w:val="18"/>
    </w:rPr>
  </w:style>
  <w:style w:type="paragraph" w:styleId="NormalnyWeb">
    <w:name w:val="Normalny (Web)"/>
    <w:basedOn w:val="Normal"/>
    <w:qFormat/>
    <w:pPr>
      <w:spacing w:lineRule="auto" w:line="240" w:before="280" w:after="280"/>
    </w:pPr>
    <w:rPr>
      <w:rFonts w:ascii="Times New Roman" w:hAnsi="Times New Roman" w:eastAsia="Times New Roman" w:cs="Times New Roman"/>
      <w:color w:val="000000"/>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suppressLineNumber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290</TotalTime>
  <Application>LibreOffice/25.2.6.2$Linux_X86_64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2026-10-09T12:53:00Z</dcterms:created>
  <dc:creator>Maciej MICHALCZYK</dc:creator>
  <dc:description/>
  <cp:keywords/>
  <dc:language>en-US</dc:language>
  <cp:lastModifiedBy>Kamila KAMIŃSKA</cp:lastModifiedBy>
  <dcterms:modified xsi:type="dcterms:W3CDTF">2026-10-09T18:52:00Z</dcterms:modified>
  <cp:revision>5</cp:revision>
  <dc:subject/>
  <dc:title>Polityka Prywatności serwisu LabSlot (labslot.pl)</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Obowiązuje od: 7 października 2026 r.</vt:lpwstr>
  </property>
</Properties>
</file>